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9172" w14:textId="77777777" w:rsidR="00DA473E" w:rsidRPr="00961753" w:rsidRDefault="00DA473E" w:rsidP="00DA473E">
      <w:pPr>
        <w:pStyle w:val="BodyText"/>
        <w:kinsoku w:val="0"/>
        <w:overflowPunct w:val="0"/>
        <w:spacing w:before="52"/>
        <w:ind w:left="1440" w:firstLine="0"/>
        <w:rPr>
          <w:rFonts w:ascii="Cambria" w:hAnsi="Cambria" w:cstheme="minorHAnsi"/>
          <w:sz w:val="34"/>
          <w:szCs w:val="34"/>
        </w:rPr>
      </w:pPr>
      <w:r w:rsidRPr="00961753">
        <w:rPr>
          <w:rFonts w:ascii="Cambria" w:hAnsi="Cambria" w:cstheme="minorHAnsi"/>
          <w:sz w:val="32"/>
          <w:szCs w:val="32"/>
        </w:rPr>
        <w:t xml:space="preserve">The </w:t>
      </w:r>
      <w:r w:rsidRPr="00961753">
        <w:rPr>
          <w:rFonts w:ascii="Cambria" w:hAnsi="Cambria" w:cstheme="minorHAnsi"/>
          <w:spacing w:val="-2"/>
          <w:sz w:val="32"/>
          <w:szCs w:val="32"/>
        </w:rPr>
        <w:t>Effect</w:t>
      </w:r>
      <w:r w:rsidRPr="00961753">
        <w:rPr>
          <w:rFonts w:ascii="Cambria" w:hAnsi="Cambria" w:cstheme="minorHAnsi"/>
          <w:sz w:val="32"/>
          <w:szCs w:val="32"/>
        </w:rPr>
        <w:t xml:space="preserve"> of Foreign Shocks</w:t>
      </w:r>
      <w:r w:rsidRPr="00961753">
        <w:rPr>
          <w:rFonts w:ascii="Cambria" w:hAnsi="Cambria" w:cstheme="minorHAnsi"/>
          <w:spacing w:val="1"/>
          <w:sz w:val="32"/>
          <w:szCs w:val="32"/>
        </w:rPr>
        <w:t xml:space="preserve"> </w:t>
      </w:r>
      <w:r w:rsidRPr="00961753">
        <w:rPr>
          <w:rFonts w:ascii="Cambria" w:hAnsi="Cambria" w:cstheme="minorHAnsi"/>
          <w:sz w:val="32"/>
          <w:szCs w:val="32"/>
        </w:rPr>
        <w:t xml:space="preserve">on the Indian </w:t>
      </w:r>
      <w:r w:rsidRPr="00961753">
        <w:rPr>
          <w:rFonts w:ascii="Cambria" w:hAnsi="Cambria" w:cstheme="minorHAnsi"/>
          <w:spacing w:val="-1"/>
          <w:sz w:val="32"/>
          <w:szCs w:val="32"/>
        </w:rPr>
        <w:t>Economy</w:t>
      </w:r>
      <w:r w:rsidRPr="00961753">
        <w:rPr>
          <w:rFonts w:ascii="Cambria" w:hAnsi="Cambria" w:cstheme="minorHAnsi"/>
          <w:spacing w:val="-1"/>
          <w:position w:val="6"/>
          <w:sz w:val="34"/>
          <w:szCs w:val="34"/>
        </w:rPr>
        <w:t>*</w:t>
      </w:r>
    </w:p>
    <w:p w14:paraId="5ECAB8E0" w14:textId="258F5721" w:rsidR="00DA473E" w:rsidRPr="00961753" w:rsidRDefault="00DA473E" w:rsidP="00DA473E">
      <w:pPr>
        <w:pStyle w:val="BodyText"/>
        <w:tabs>
          <w:tab w:val="left" w:pos="3269"/>
        </w:tabs>
        <w:kinsoku w:val="0"/>
        <w:overflowPunct w:val="0"/>
        <w:ind w:left="119"/>
        <w:jc w:val="center"/>
        <w:rPr>
          <w:rFonts w:ascii="Cambria" w:hAnsi="Cambria" w:cstheme="minorHAnsi"/>
          <w:sz w:val="20"/>
          <w:szCs w:val="20"/>
        </w:rPr>
      </w:pPr>
      <w:r w:rsidRPr="00961753">
        <w:rPr>
          <w:rFonts w:ascii="Cambria" w:hAnsi="Cambria" w:cstheme="minorHAnsi"/>
        </w:rPr>
        <w:t>Aeimit</w:t>
      </w:r>
      <w:r w:rsidRPr="00961753">
        <w:rPr>
          <w:rFonts w:ascii="Cambria" w:hAnsi="Cambria" w:cstheme="minorHAnsi"/>
          <w:spacing w:val="16"/>
        </w:rPr>
        <w:t xml:space="preserve"> </w:t>
      </w:r>
      <w:r w:rsidRPr="00961753">
        <w:rPr>
          <w:rFonts w:ascii="Cambria" w:hAnsi="Cambria" w:cstheme="minorHAnsi"/>
        </w:rPr>
        <w:t>Lakdawala</w:t>
      </w:r>
      <w:r w:rsidRPr="00961753">
        <w:rPr>
          <w:rFonts w:ascii="Cambria" w:hAnsi="Cambria" w:cstheme="minorHAnsi"/>
          <w:spacing w:val="65"/>
          <w:sz w:val="28"/>
          <w:szCs w:val="28"/>
        </w:rPr>
        <w:t xml:space="preserve"> </w:t>
      </w:r>
      <w:r w:rsidRPr="00961753">
        <w:rPr>
          <w:rFonts w:ascii="Cambria" w:hAnsi="Cambria" w:cstheme="minorHAnsi"/>
          <w:position w:val="10"/>
          <w:sz w:val="20"/>
          <w:szCs w:val="20"/>
        </w:rPr>
        <w:t>†</w:t>
      </w:r>
      <w:r w:rsidRPr="00961753">
        <w:rPr>
          <w:rFonts w:ascii="Cambria" w:hAnsi="Cambria" w:cstheme="minorHAnsi"/>
          <w:position w:val="10"/>
          <w:sz w:val="20"/>
          <w:szCs w:val="20"/>
        </w:rPr>
        <w:tab/>
      </w:r>
      <w:r w:rsidRPr="00961753">
        <w:rPr>
          <w:rFonts w:ascii="Cambria" w:hAnsi="Cambria" w:cstheme="minorHAnsi"/>
        </w:rPr>
        <w:t>Sanjay</w:t>
      </w:r>
      <w:r w:rsidR="00BB297E" w:rsidRPr="00961753">
        <w:rPr>
          <w:rFonts w:ascii="Cambria" w:hAnsi="Cambria" w:cstheme="minorHAnsi"/>
        </w:rPr>
        <w:t xml:space="preserve"> R.</w:t>
      </w:r>
      <w:r w:rsidR="00BB297E" w:rsidRPr="00961753">
        <w:rPr>
          <w:rFonts w:ascii="Cambria" w:hAnsi="Cambria" w:cstheme="minorHAnsi"/>
          <w:spacing w:val="14"/>
        </w:rPr>
        <w:t xml:space="preserve"> </w:t>
      </w:r>
      <w:r w:rsidRPr="00961753">
        <w:rPr>
          <w:rFonts w:ascii="Cambria" w:hAnsi="Cambria" w:cstheme="minorHAnsi"/>
        </w:rPr>
        <w:t>Singh</w:t>
      </w:r>
      <w:r w:rsidRPr="00961753">
        <w:rPr>
          <w:rFonts w:ascii="Cambria" w:hAnsi="Cambria" w:cstheme="minorHAnsi"/>
          <w:spacing w:val="15"/>
          <w:sz w:val="28"/>
          <w:szCs w:val="28"/>
        </w:rPr>
        <w:t xml:space="preserve"> </w:t>
      </w:r>
      <w:r w:rsidRPr="00961753">
        <w:rPr>
          <w:rFonts w:ascii="Cambria" w:hAnsi="Cambria" w:cstheme="minorHAnsi"/>
          <w:position w:val="10"/>
          <w:sz w:val="20"/>
          <w:szCs w:val="20"/>
        </w:rPr>
        <w:t>‡</w:t>
      </w:r>
    </w:p>
    <w:p w14:paraId="1559F66D" w14:textId="77777777" w:rsidR="006A5D32" w:rsidRDefault="006A5D32" w:rsidP="00DA473E">
      <w:pPr>
        <w:pStyle w:val="BodyText"/>
        <w:kinsoku w:val="0"/>
        <w:overflowPunct w:val="0"/>
        <w:ind w:left="19"/>
        <w:jc w:val="center"/>
        <w:rPr>
          <w:rFonts w:ascii="Cambria" w:hAnsi="Cambria" w:cstheme="minorHAnsi"/>
          <w:b/>
          <w:bCs/>
          <w:sz w:val="22"/>
          <w:szCs w:val="22"/>
        </w:rPr>
      </w:pPr>
    </w:p>
    <w:p w14:paraId="3ED63B25" w14:textId="2E80917B" w:rsidR="00DA473E" w:rsidRPr="00961753" w:rsidRDefault="00DA473E" w:rsidP="00DA473E">
      <w:pPr>
        <w:pStyle w:val="BodyText"/>
        <w:kinsoku w:val="0"/>
        <w:overflowPunct w:val="0"/>
        <w:ind w:left="19"/>
        <w:jc w:val="center"/>
        <w:rPr>
          <w:rFonts w:ascii="Cambria" w:hAnsi="Cambria" w:cstheme="minorHAnsi"/>
          <w:b/>
          <w:sz w:val="22"/>
          <w:szCs w:val="22"/>
        </w:rPr>
      </w:pPr>
      <w:r w:rsidRPr="00961753">
        <w:rPr>
          <w:rFonts w:ascii="Cambria" w:hAnsi="Cambria" w:cstheme="minorHAnsi"/>
          <w:b/>
          <w:bCs/>
          <w:sz w:val="22"/>
          <w:szCs w:val="22"/>
        </w:rPr>
        <w:t>Abstract</w:t>
      </w:r>
    </w:p>
    <w:p w14:paraId="2D3D65B9" w14:textId="3BB7C96F" w:rsidR="00DA473E" w:rsidRPr="001C5591" w:rsidRDefault="00DA473E" w:rsidP="00DA473E">
      <w:pPr>
        <w:pStyle w:val="BodyText"/>
        <w:kinsoku w:val="0"/>
        <w:overflowPunct w:val="0"/>
        <w:spacing w:line="240" w:lineRule="auto"/>
        <w:ind w:left="718" w:right="695"/>
        <w:rPr>
          <w:rFonts w:asciiTheme="minorHAnsi" w:hAnsiTheme="minorHAnsi" w:cstheme="minorHAnsi"/>
        </w:rPr>
      </w:pPr>
      <w:r w:rsidRPr="001C5591">
        <w:rPr>
          <w:rFonts w:asciiTheme="minorHAnsi" w:hAnsiTheme="minorHAnsi" w:cstheme="minorHAnsi"/>
        </w:rPr>
        <w:t>The</w:t>
      </w:r>
      <w:r w:rsidRPr="001C5591">
        <w:rPr>
          <w:rFonts w:asciiTheme="minorHAnsi" w:hAnsiTheme="minorHAnsi" w:cstheme="minorHAnsi"/>
          <w:spacing w:val="4"/>
        </w:rPr>
        <w:t xml:space="preserve"> </w:t>
      </w:r>
      <w:r w:rsidRPr="001C5591">
        <w:rPr>
          <w:rFonts w:asciiTheme="minorHAnsi" w:hAnsiTheme="minorHAnsi" w:cstheme="minorHAnsi"/>
        </w:rPr>
        <w:t>Indian</w:t>
      </w:r>
      <w:r w:rsidRPr="001C5591">
        <w:rPr>
          <w:rFonts w:asciiTheme="minorHAnsi" w:hAnsiTheme="minorHAnsi" w:cstheme="minorHAnsi"/>
          <w:spacing w:val="5"/>
        </w:rPr>
        <w:t xml:space="preserve"> </w:t>
      </w:r>
      <w:r w:rsidRPr="001C5591">
        <w:rPr>
          <w:rFonts w:asciiTheme="minorHAnsi" w:hAnsiTheme="minorHAnsi" w:cstheme="minorHAnsi"/>
        </w:rPr>
        <w:t>economy</w:t>
      </w:r>
      <w:r w:rsidRPr="001C5591">
        <w:rPr>
          <w:rFonts w:asciiTheme="minorHAnsi" w:hAnsiTheme="minorHAnsi" w:cstheme="minorHAnsi"/>
          <w:spacing w:val="5"/>
        </w:rPr>
        <w:t xml:space="preserve"> </w:t>
      </w:r>
      <w:r w:rsidRPr="001C5591">
        <w:rPr>
          <w:rFonts w:asciiTheme="minorHAnsi" w:hAnsiTheme="minorHAnsi" w:cstheme="minorHAnsi"/>
        </w:rPr>
        <w:t>has</w:t>
      </w:r>
      <w:r w:rsidRPr="001C5591">
        <w:rPr>
          <w:rFonts w:asciiTheme="minorHAnsi" w:hAnsiTheme="minorHAnsi" w:cstheme="minorHAnsi"/>
          <w:spacing w:val="5"/>
        </w:rPr>
        <w:t xml:space="preserve"> </w:t>
      </w:r>
      <w:r w:rsidRPr="001C5591">
        <w:rPr>
          <w:rFonts w:asciiTheme="minorHAnsi" w:hAnsiTheme="minorHAnsi" w:cstheme="minorHAnsi"/>
        </w:rPr>
        <w:t>been</w:t>
      </w:r>
      <w:r w:rsidRPr="001C5591">
        <w:rPr>
          <w:rFonts w:asciiTheme="minorHAnsi" w:hAnsiTheme="minorHAnsi" w:cstheme="minorHAnsi"/>
          <w:spacing w:val="5"/>
        </w:rPr>
        <w:t xml:space="preserve"> </w:t>
      </w:r>
      <w:r w:rsidRPr="001C5591">
        <w:rPr>
          <w:rFonts w:asciiTheme="minorHAnsi" w:hAnsiTheme="minorHAnsi" w:cstheme="minorHAnsi"/>
        </w:rPr>
        <w:t>increasingly</w:t>
      </w:r>
      <w:r w:rsidRPr="001C5591">
        <w:rPr>
          <w:rFonts w:asciiTheme="minorHAnsi" w:hAnsiTheme="minorHAnsi" w:cstheme="minorHAnsi"/>
          <w:spacing w:val="5"/>
        </w:rPr>
        <w:t xml:space="preserve"> </w:t>
      </w:r>
      <w:r w:rsidRPr="001C5591">
        <w:rPr>
          <w:rFonts w:asciiTheme="minorHAnsi" w:hAnsiTheme="minorHAnsi" w:cstheme="minorHAnsi"/>
        </w:rPr>
        <w:t>exposed</w:t>
      </w:r>
      <w:r w:rsidRPr="001C5591">
        <w:rPr>
          <w:rFonts w:asciiTheme="minorHAnsi" w:hAnsiTheme="minorHAnsi" w:cstheme="minorHAnsi"/>
          <w:spacing w:val="4"/>
        </w:rPr>
        <w:t xml:space="preserve"> </w:t>
      </w:r>
      <w:r w:rsidRPr="001C5591">
        <w:rPr>
          <w:rFonts w:asciiTheme="minorHAnsi" w:hAnsiTheme="minorHAnsi" w:cstheme="minorHAnsi"/>
        </w:rPr>
        <w:t>to</w:t>
      </w:r>
      <w:r w:rsidRPr="001C5591">
        <w:rPr>
          <w:rFonts w:asciiTheme="minorHAnsi" w:hAnsiTheme="minorHAnsi" w:cstheme="minorHAnsi"/>
          <w:spacing w:val="5"/>
        </w:rPr>
        <w:t xml:space="preserve"> </w:t>
      </w:r>
      <w:r w:rsidRPr="001C5591">
        <w:rPr>
          <w:rFonts w:asciiTheme="minorHAnsi" w:hAnsiTheme="minorHAnsi" w:cstheme="minorHAnsi"/>
        </w:rPr>
        <w:t>external</w:t>
      </w:r>
      <w:r w:rsidRPr="001C5591">
        <w:rPr>
          <w:rFonts w:asciiTheme="minorHAnsi" w:hAnsiTheme="minorHAnsi" w:cstheme="minorHAnsi"/>
          <w:spacing w:val="5"/>
        </w:rPr>
        <w:t xml:space="preserve"> </w:t>
      </w:r>
      <w:r w:rsidRPr="001C5591">
        <w:rPr>
          <w:rFonts w:asciiTheme="minorHAnsi" w:hAnsiTheme="minorHAnsi" w:cstheme="minorHAnsi"/>
        </w:rPr>
        <w:t>shocks</w:t>
      </w:r>
      <w:r w:rsidRPr="001C5591">
        <w:rPr>
          <w:rFonts w:asciiTheme="minorHAnsi" w:hAnsiTheme="minorHAnsi" w:cstheme="minorHAnsi"/>
          <w:spacing w:val="5"/>
        </w:rPr>
        <w:t xml:space="preserve"> </w:t>
      </w:r>
      <w:r w:rsidRPr="001C5591">
        <w:rPr>
          <w:rFonts w:asciiTheme="minorHAnsi" w:hAnsiTheme="minorHAnsi" w:cstheme="minorHAnsi"/>
        </w:rPr>
        <w:t>with</w:t>
      </w:r>
      <w:r w:rsidRPr="001C5591">
        <w:rPr>
          <w:rFonts w:asciiTheme="minorHAnsi" w:hAnsiTheme="minorHAnsi" w:cstheme="minorHAnsi"/>
          <w:spacing w:val="5"/>
        </w:rPr>
        <w:t xml:space="preserve"> </w:t>
      </w:r>
      <w:r w:rsidRPr="001C5591">
        <w:rPr>
          <w:rFonts w:asciiTheme="minorHAnsi" w:hAnsiTheme="minorHAnsi" w:cstheme="minorHAnsi"/>
        </w:rPr>
        <w:t>growing</w:t>
      </w:r>
      <w:r w:rsidRPr="001C5591">
        <w:rPr>
          <w:rFonts w:asciiTheme="minorHAnsi" w:hAnsiTheme="minorHAnsi" w:cstheme="minorHAnsi"/>
          <w:spacing w:val="5"/>
        </w:rPr>
        <w:t xml:space="preserve"> </w:t>
      </w:r>
      <w:r w:rsidRPr="001C5591">
        <w:rPr>
          <w:rFonts w:asciiTheme="minorHAnsi" w:hAnsiTheme="minorHAnsi" w:cstheme="minorHAnsi"/>
        </w:rPr>
        <w:t>financial</w:t>
      </w:r>
      <w:r w:rsidRPr="001C5591">
        <w:rPr>
          <w:rFonts w:asciiTheme="minorHAnsi" w:hAnsiTheme="minorHAnsi" w:cstheme="minorHAnsi"/>
          <w:w w:val="99"/>
        </w:rPr>
        <w:t xml:space="preserve"> </w:t>
      </w:r>
      <w:r w:rsidRPr="001C5591">
        <w:rPr>
          <w:rFonts w:asciiTheme="minorHAnsi" w:hAnsiTheme="minorHAnsi" w:cstheme="minorHAnsi"/>
        </w:rPr>
        <w:t>and</w:t>
      </w:r>
      <w:r w:rsidRPr="001C5591">
        <w:rPr>
          <w:rFonts w:asciiTheme="minorHAnsi" w:hAnsiTheme="minorHAnsi" w:cstheme="minorHAnsi"/>
          <w:spacing w:val="8"/>
        </w:rPr>
        <w:t xml:space="preserve"> </w:t>
      </w:r>
      <w:r w:rsidRPr="001C5591">
        <w:rPr>
          <w:rFonts w:asciiTheme="minorHAnsi" w:hAnsiTheme="minorHAnsi" w:cstheme="minorHAnsi"/>
        </w:rPr>
        <w:t>trade</w:t>
      </w:r>
      <w:r w:rsidRPr="001C5591">
        <w:rPr>
          <w:rFonts w:asciiTheme="minorHAnsi" w:hAnsiTheme="minorHAnsi" w:cstheme="minorHAnsi"/>
          <w:spacing w:val="8"/>
        </w:rPr>
        <w:t xml:space="preserve"> </w:t>
      </w:r>
      <w:r w:rsidRPr="001C5591">
        <w:rPr>
          <w:rFonts w:asciiTheme="minorHAnsi" w:hAnsiTheme="minorHAnsi" w:cstheme="minorHAnsi"/>
        </w:rPr>
        <w:t>integration.</w:t>
      </w:r>
      <w:r w:rsidRPr="001C5591">
        <w:rPr>
          <w:rFonts w:asciiTheme="minorHAnsi" w:hAnsiTheme="minorHAnsi" w:cstheme="minorHAnsi"/>
          <w:spacing w:val="53"/>
        </w:rPr>
        <w:t xml:space="preserve"> </w:t>
      </w:r>
      <w:r w:rsidRPr="001C5591">
        <w:rPr>
          <w:rFonts w:asciiTheme="minorHAnsi" w:hAnsiTheme="minorHAnsi" w:cstheme="minorHAnsi"/>
          <w:spacing w:val="-10"/>
        </w:rPr>
        <w:t>We</w:t>
      </w:r>
      <w:r w:rsidRPr="001C5591">
        <w:rPr>
          <w:rFonts w:asciiTheme="minorHAnsi" w:hAnsiTheme="minorHAnsi" w:cstheme="minorHAnsi"/>
          <w:spacing w:val="8"/>
        </w:rPr>
        <w:t xml:space="preserve"> </w:t>
      </w:r>
      <w:r w:rsidRPr="001C5591">
        <w:rPr>
          <w:rFonts w:asciiTheme="minorHAnsi" w:hAnsiTheme="minorHAnsi" w:cstheme="minorHAnsi"/>
        </w:rPr>
        <w:t>examine</w:t>
      </w:r>
      <w:r w:rsidRPr="001C5591">
        <w:rPr>
          <w:rFonts w:asciiTheme="minorHAnsi" w:hAnsiTheme="minorHAnsi" w:cstheme="minorHAnsi"/>
          <w:spacing w:val="8"/>
        </w:rPr>
        <w:t xml:space="preserve"> </w:t>
      </w:r>
      <w:r w:rsidRPr="001C5591">
        <w:rPr>
          <w:rFonts w:asciiTheme="minorHAnsi" w:hAnsiTheme="minorHAnsi" w:cstheme="minorHAnsi"/>
        </w:rPr>
        <w:t>the</w:t>
      </w:r>
      <w:r w:rsidRPr="001C5591">
        <w:rPr>
          <w:rFonts w:asciiTheme="minorHAnsi" w:hAnsiTheme="minorHAnsi" w:cstheme="minorHAnsi"/>
          <w:spacing w:val="9"/>
        </w:rPr>
        <w:t xml:space="preserve"> </w:t>
      </w:r>
      <w:r w:rsidRPr="001C5591">
        <w:rPr>
          <w:rFonts w:asciiTheme="minorHAnsi" w:hAnsiTheme="minorHAnsi" w:cstheme="minorHAnsi"/>
          <w:spacing w:val="-1"/>
        </w:rPr>
        <w:t>effects</w:t>
      </w:r>
      <w:r w:rsidRPr="001C5591">
        <w:rPr>
          <w:rFonts w:asciiTheme="minorHAnsi" w:hAnsiTheme="minorHAnsi" w:cstheme="minorHAnsi"/>
          <w:spacing w:val="8"/>
        </w:rPr>
        <w:t xml:space="preserve"> </w:t>
      </w:r>
      <w:r w:rsidRPr="001C5591">
        <w:rPr>
          <w:rFonts w:asciiTheme="minorHAnsi" w:hAnsiTheme="minorHAnsi" w:cstheme="minorHAnsi"/>
        </w:rPr>
        <w:t>of</w:t>
      </w:r>
      <w:r w:rsidRPr="001C5591">
        <w:rPr>
          <w:rFonts w:asciiTheme="minorHAnsi" w:hAnsiTheme="minorHAnsi" w:cstheme="minorHAnsi"/>
          <w:spacing w:val="9"/>
        </w:rPr>
        <w:t xml:space="preserve"> </w:t>
      </w:r>
      <w:r w:rsidRPr="001C5591">
        <w:rPr>
          <w:rFonts w:asciiTheme="minorHAnsi" w:hAnsiTheme="minorHAnsi" w:cstheme="minorHAnsi"/>
        </w:rPr>
        <w:t>four</w:t>
      </w:r>
      <w:r w:rsidRPr="001C5591">
        <w:rPr>
          <w:rFonts w:asciiTheme="minorHAnsi" w:hAnsiTheme="minorHAnsi" w:cstheme="minorHAnsi"/>
          <w:spacing w:val="8"/>
        </w:rPr>
        <w:t xml:space="preserve"> </w:t>
      </w:r>
      <w:r w:rsidRPr="001C5591">
        <w:rPr>
          <w:rFonts w:asciiTheme="minorHAnsi" w:hAnsiTheme="minorHAnsi" w:cstheme="minorHAnsi"/>
        </w:rPr>
        <w:t>key</w:t>
      </w:r>
      <w:r w:rsidRPr="001C5591">
        <w:rPr>
          <w:rFonts w:asciiTheme="minorHAnsi" w:hAnsiTheme="minorHAnsi" w:cstheme="minorHAnsi"/>
          <w:spacing w:val="8"/>
        </w:rPr>
        <w:t xml:space="preserve"> </w:t>
      </w:r>
      <w:r w:rsidRPr="001C5591">
        <w:rPr>
          <w:rFonts w:asciiTheme="minorHAnsi" w:hAnsiTheme="minorHAnsi" w:cstheme="minorHAnsi"/>
        </w:rPr>
        <w:t>international</w:t>
      </w:r>
      <w:r w:rsidRPr="001C5591">
        <w:rPr>
          <w:rFonts w:asciiTheme="minorHAnsi" w:hAnsiTheme="minorHAnsi" w:cstheme="minorHAnsi"/>
          <w:spacing w:val="9"/>
        </w:rPr>
        <w:t xml:space="preserve"> </w:t>
      </w:r>
      <w:r w:rsidRPr="001C5591">
        <w:rPr>
          <w:rFonts w:asciiTheme="minorHAnsi" w:hAnsiTheme="minorHAnsi" w:cstheme="minorHAnsi"/>
        </w:rPr>
        <w:t>shocks:</w:t>
      </w:r>
      <w:r w:rsidRPr="001C5591">
        <w:rPr>
          <w:rFonts w:asciiTheme="minorHAnsi" w:hAnsiTheme="minorHAnsi" w:cstheme="minorHAnsi"/>
          <w:spacing w:val="39"/>
        </w:rPr>
        <w:t xml:space="preserve"> </w:t>
      </w:r>
      <w:r w:rsidRPr="001C5591">
        <w:rPr>
          <w:rFonts w:asciiTheme="minorHAnsi" w:hAnsiTheme="minorHAnsi" w:cstheme="minorHAnsi"/>
        </w:rPr>
        <w:t>shocks</w:t>
      </w:r>
      <w:r w:rsidRPr="001C5591">
        <w:rPr>
          <w:rFonts w:asciiTheme="minorHAnsi" w:hAnsiTheme="minorHAnsi" w:cstheme="minorHAnsi"/>
          <w:spacing w:val="8"/>
        </w:rPr>
        <w:t xml:space="preserve"> </w:t>
      </w:r>
      <w:r w:rsidRPr="001C5591">
        <w:rPr>
          <w:rFonts w:asciiTheme="minorHAnsi" w:hAnsiTheme="minorHAnsi" w:cstheme="minorHAnsi"/>
        </w:rPr>
        <w:t>to</w:t>
      </w:r>
      <w:r w:rsidRPr="001C5591">
        <w:rPr>
          <w:rFonts w:asciiTheme="minorHAnsi" w:hAnsiTheme="minorHAnsi" w:cstheme="minorHAnsi"/>
          <w:spacing w:val="9"/>
        </w:rPr>
        <w:t xml:space="preserve"> </w:t>
      </w:r>
      <w:r w:rsidRPr="001C5591">
        <w:rPr>
          <w:rFonts w:asciiTheme="minorHAnsi" w:hAnsiTheme="minorHAnsi" w:cstheme="minorHAnsi"/>
        </w:rPr>
        <w:t>US</w:t>
      </w:r>
      <w:r w:rsidRPr="001C5591">
        <w:rPr>
          <w:rFonts w:asciiTheme="minorHAnsi" w:hAnsiTheme="minorHAnsi" w:cstheme="minorHAnsi"/>
          <w:spacing w:val="24"/>
          <w:w w:val="99"/>
        </w:rPr>
        <w:t xml:space="preserve"> </w:t>
      </w:r>
      <w:r w:rsidRPr="001C5591">
        <w:rPr>
          <w:rFonts w:asciiTheme="minorHAnsi" w:hAnsiTheme="minorHAnsi" w:cstheme="minorHAnsi"/>
        </w:rPr>
        <w:t>monetary</w:t>
      </w:r>
      <w:r w:rsidRPr="001C5591">
        <w:rPr>
          <w:rFonts w:asciiTheme="minorHAnsi" w:hAnsiTheme="minorHAnsi" w:cstheme="minorHAnsi"/>
          <w:spacing w:val="9"/>
        </w:rPr>
        <w:t xml:space="preserve"> </w:t>
      </w:r>
      <w:r w:rsidRPr="001C5591">
        <w:rPr>
          <w:rFonts w:asciiTheme="minorHAnsi" w:hAnsiTheme="minorHAnsi" w:cstheme="minorHAnsi"/>
          <w:spacing w:val="-2"/>
        </w:rPr>
        <w:t>policy,</w:t>
      </w:r>
      <w:r w:rsidRPr="001C5591">
        <w:rPr>
          <w:rFonts w:asciiTheme="minorHAnsi" w:hAnsiTheme="minorHAnsi" w:cstheme="minorHAnsi"/>
          <w:spacing w:val="14"/>
        </w:rPr>
        <w:t xml:space="preserve"> </w:t>
      </w:r>
      <w:r w:rsidRPr="001C5591">
        <w:rPr>
          <w:rFonts w:asciiTheme="minorHAnsi" w:hAnsiTheme="minorHAnsi" w:cstheme="minorHAnsi"/>
        </w:rPr>
        <w:t>oil</w:t>
      </w:r>
      <w:r w:rsidRPr="001C5591">
        <w:rPr>
          <w:rFonts w:asciiTheme="minorHAnsi" w:hAnsiTheme="minorHAnsi" w:cstheme="minorHAnsi"/>
          <w:spacing w:val="10"/>
        </w:rPr>
        <w:t xml:space="preserve"> </w:t>
      </w:r>
      <w:r w:rsidRPr="001C5591">
        <w:rPr>
          <w:rFonts w:asciiTheme="minorHAnsi" w:hAnsiTheme="minorHAnsi" w:cstheme="minorHAnsi"/>
          <w:spacing w:val="-2"/>
        </w:rPr>
        <w:t>supply,</w:t>
      </w:r>
      <w:r w:rsidRPr="001C5591">
        <w:rPr>
          <w:rFonts w:asciiTheme="minorHAnsi" w:hAnsiTheme="minorHAnsi" w:cstheme="minorHAnsi"/>
          <w:spacing w:val="13"/>
        </w:rPr>
        <w:t xml:space="preserve"> </w:t>
      </w:r>
      <w:r w:rsidRPr="001C5591">
        <w:rPr>
          <w:rFonts w:asciiTheme="minorHAnsi" w:hAnsiTheme="minorHAnsi" w:cstheme="minorHAnsi"/>
        </w:rPr>
        <w:t>global</w:t>
      </w:r>
      <w:r w:rsidRPr="001C5591">
        <w:rPr>
          <w:rFonts w:asciiTheme="minorHAnsi" w:hAnsiTheme="minorHAnsi" w:cstheme="minorHAnsi"/>
          <w:spacing w:val="10"/>
        </w:rPr>
        <w:t xml:space="preserve"> </w:t>
      </w:r>
      <w:r w:rsidRPr="001C5591">
        <w:rPr>
          <w:rFonts w:asciiTheme="minorHAnsi" w:hAnsiTheme="minorHAnsi" w:cstheme="minorHAnsi"/>
        </w:rPr>
        <w:t>economic</w:t>
      </w:r>
      <w:r w:rsidRPr="001C5591">
        <w:rPr>
          <w:rFonts w:asciiTheme="minorHAnsi" w:hAnsiTheme="minorHAnsi" w:cstheme="minorHAnsi"/>
          <w:spacing w:val="10"/>
        </w:rPr>
        <w:t xml:space="preserve"> </w:t>
      </w:r>
      <w:r w:rsidRPr="001C5591">
        <w:rPr>
          <w:rFonts w:asciiTheme="minorHAnsi" w:hAnsiTheme="minorHAnsi" w:cstheme="minorHAnsi"/>
        </w:rPr>
        <w:t>policy</w:t>
      </w:r>
      <w:r w:rsidRPr="001C5591">
        <w:rPr>
          <w:rFonts w:asciiTheme="minorHAnsi" w:hAnsiTheme="minorHAnsi" w:cstheme="minorHAnsi"/>
          <w:spacing w:val="10"/>
        </w:rPr>
        <w:t xml:space="preserve"> </w:t>
      </w:r>
      <w:r w:rsidRPr="001C5591">
        <w:rPr>
          <w:rFonts w:asciiTheme="minorHAnsi" w:hAnsiTheme="minorHAnsi" w:cstheme="minorHAnsi"/>
          <w:spacing w:val="-2"/>
        </w:rPr>
        <w:t>uncertainty,</w:t>
      </w:r>
      <w:r w:rsidRPr="001C5591">
        <w:rPr>
          <w:rFonts w:asciiTheme="minorHAnsi" w:hAnsiTheme="minorHAnsi" w:cstheme="minorHAnsi"/>
          <w:spacing w:val="13"/>
        </w:rPr>
        <w:t xml:space="preserve"> </w:t>
      </w:r>
      <w:r w:rsidRPr="001C5591">
        <w:rPr>
          <w:rFonts w:asciiTheme="minorHAnsi" w:hAnsiTheme="minorHAnsi" w:cstheme="minorHAnsi"/>
        </w:rPr>
        <w:t>and</w:t>
      </w:r>
      <w:r w:rsidRPr="001C5591">
        <w:rPr>
          <w:rFonts w:asciiTheme="minorHAnsi" w:hAnsiTheme="minorHAnsi" w:cstheme="minorHAnsi"/>
          <w:spacing w:val="10"/>
        </w:rPr>
        <w:t xml:space="preserve"> </w:t>
      </w:r>
      <w:r w:rsidRPr="001C5591">
        <w:rPr>
          <w:rFonts w:asciiTheme="minorHAnsi" w:hAnsiTheme="minorHAnsi" w:cstheme="minorHAnsi"/>
        </w:rPr>
        <w:t>geopolitical</w:t>
      </w:r>
      <w:r w:rsidRPr="001C5591">
        <w:rPr>
          <w:rFonts w:asciiTheme="minorHAnsi" w:hAnsiTheme="minorHAnsi" w:cstheme="minorHAnsi"/>
          <w:spacing w:val="10"/>
        </w:rPr>
        <w:t xml:space="preserve"> </w:t>
      </w:r>
      <w:r w:rsidRPr="001C5591">
        <w:rPr>
          <w:rFonts w:asciiTheme="minorHAnsi" w:hAnsiTheme="minorHAnsi" w:cstheme="minorHAnsi"/>
        </w:rPr>
        <w:t>risk.</w:t>
      </w:r>
      <w:r w:rsidRPr="001C5591">
        <w:rPr>
          <w:rFonts w:asciiTheme="minorHAnsi" w:hAnsiTheme="minorHAnsi" w:cstheme="minorHAnsi"/>
          <w:spacing w:val="2"/>
        </w:rPr>
        <w:t xml:space="preserve"> </w:t>
      </w:r>
      <w:r w:rsidRPr="001C5591">
        <w:rPr>
          <w:rFonts w:asciiTheme="minorHAnsi" w:hAnsiTheme="minorHAnsi" w:cstheme="minorHAnsi"/>
        </w:rPr>
        <w:t>Using</w:t>
      </w:r>
      <w:r w:rsidRPr="001C5591">
        <w:rPr>
          <w:rFonts w:asciiTheme="minorHAnsi" w:hAnsiTheme="minorHAnsi" w:cstheme="minorHAnsi"/>
          <w:spacing w:val="21"/>
          <w:w w:val="99"/>
        </w:rPr>
        <w:t xml:space="preserve"> </w:t>
      </w:r>
      <w:r w:rsidRPr="001C5591">
        <w:rPr>
          <w:rFonts w:asciiTheme="minorHAnsi" w:hAnsiTheme="minorHAnsi" w:cstheme="minorHAnsi"/>
        </w:rPr>
        <w:t>the</w:t>
      </w:r>
      <w:r w:rsidRPr="001C5591">
        <w:rPr>
          <w:rFonts w:asciiTheme="minorHAnsi" w:hAnsiTheme="minorHAnsi" w:cstheme="minorHAnsi"/>
          <w:spacing w:val="-3"/>
        </w:rPr>
        <w:t xml:space="preserve"> </w:t>
      </w:r>
      <w:r w:rsidRPr="001C5591">
        <w:rPr>
          <w:rFonts w:asciiTheme="minorHAnsi" w:hAnsiTheme="minorHAnsi" w:cstheme="minorHAnsi"/>
        </w:rPr>
        <w:t>external</w:t>
      </w:r>
      <w:r w:rsidRPr="001C5591">
        <w:rPr>
          <w:rFonts w:asciiTheme="minorHAnsi" w:hAnsiTheme="minorHAnsi" w:cstheme="minorHAnsi"/>
          <w:spacing w:val="-3"/>
        </w:rPr>
        <w:t xml:space="preserve"> </w:t>
      </w:r>
      <w:r w:rsidRPr="001C5591">
        <w:rPr>
          <w:rFonts w:asciiTheme="minorHAnsi" w:hAnsiTheme="minorHAnsi" w:cstheme="minorHAnsi"/>
        </w:rPr>
        <w:t>instruments</w:t>
      </w:r>
      <w:r w:rsidRPr="001C5591">
        <w:rPr>
          <w:rFonts w:asciiTheme="minorHAnsi" w:hAnsiTheme="minorHAnsi" w:cstheme="minorHAnsi"/>
          <w:spacing w:val="-3"/>
        </w:rPr>
        <w:t xml:space="preserve"> </w:t>
      </w:r>
      <w:r w:rsidRPr="001C5591">
        <w:rPr>
          <w:rFonts w:asciiTheme="minorHAnsi" w:hAnsiTheme="minorHAnsi" w:cstheme="minorHAnsi"/>
        </w:rPr>
        <w:t>strategy</w:t>
      </w:r>
      <w:r w:rsidRPr="001C5591">
        <w:rPr>
          <w:rFonts w:asciiTheme="minorHAnsi" w:hAnsiTheme="minorHAnsi" w:cstheme="minorHAnsi"/>
          <w:spacing w:val="-3"/>
        </w:rPr>
        <w:t xml:space="preserve"> </w:t>
      </w:r>
      <w:r w:rsidRPr="001C5591">
        <w:rPr>
          <w:rFonts w:asciiTheme="minorHAnsi" w:hAnsiTheme="minorHAnsi" w:cstheme="minorHAnsi"/>
        </w:rPr>
        <w:t>with</w:t>
      </w:r>
      <w:r w:rsidRPr="001C5591">
        <w:rPr>
          <w:rFonts w:asciiTheme="minorHAnsi" w:hAnsiTheme="minorHAnsi" w:cstheme="minorHAnsi"/>
          <w:spacing w:val="-3"/>
        </w:rPr>
        <w:t xml:space="preserve"> </w:t>
      </w:r>
      <w:r w:rsidRPr="001C5591">
        <w:rPr>
          <w:rFonts w:asciiTheme="minorHAnsi" w:hAnsiTheme="minorHAnsi" w:cstheme="minorHAnsi"/>
        </w:rPr>
        <w:t>local</w:t>
      </w:r>
      <w:r w:rsidRPr="001C5591">
        <w:rPr>
          <w:rFonts w:asciiTheme="minorHAnsi" w:hAnsiTheme="minorHAnsi" w:cstheme="minorHAnsi"/>
          <w:spacing w:val="-3"/>
        </w:rPr>
        <w:t xml:space="preserve"> </w:t>
      </w:r>
      <w:r w:rsidRPr="001C5591">
        <w:rPr>
          <w:rFonts w:asciiTheme="minorHAnsi" w:hAnsiTheme="minorHAnsi" w:cstheme="minorHAnsi"/>
        </w:rPr>
        <w:t>projections</w:t>
      </w:r>
      <w:r w:rsidRPr="001C5591">
        <w:rPr>
          <w:rFonts w:asciiTheme="minorHAnsi" w:hAnsiTheme="minorHAnsi" w:cstheme="minorHAnsi"/>
          <w:spacing w:val="-2"/>
        </w:rPr>
        <w:t xml:space="preserve"> </w:t>
      </w:r>
      <w:r w:rsidRPr="001C5591">
        <w:rPr>
          <w:rFonts w:asciiTheme="minorHAnsi" w:hAnsiTheme="minorHAnsi" w:cstheme="minorHAnsi"/>
        </w:rPr>
        <w:t>(LP­IVs)</w:t>
      </w:r>
      <w:r w:rsidRPr="001C5591">
        <w:rPr>
          <w:rFonts w:asciiTheme="minorHAnsi" w:hAnsiTheme="minorHAnsi" w:cstheme="minorHAnsi"/>
          <w:spacing w:val="-3"/>
        </w:rPr>
        <w:t xml:space="preserve"> </w:t>
      </w:r>
      <w:r w:rsidRPr="001C5591">
        <w:rPr>
          <w:rFonts w:asciiTheme="minorHAnsi" w:hAnsiTheme="minorHAnsi" w:cstheme="minorHAnsi"/>
        </w:rPr>
        <w:t>and</w:t>
      </w:r>
      <w:r w:rsidRPr="001C5591">
        <w:rPr>
          <w:rFonts w:asciiTheme="minorHAnsi" w:hAnsiTheme="minorHAnsi" w:cstheme="minorHAnsi"/>
          <w:spacing w:val="-3"/>
        </w:rPr>
        <w:t xml:space="preserve"> </w:t>
      </w:r>
      <w:r w:rsidRPr="001C5591">
        <w:rPr>
          <w:rFonts w:asciiTheme="minorHAnsi" w:hAnsiTheme="minorHAnsi" w:cstheme="minorHAnsi"/>
        </w:rPr>
        <w:t>structural</w:t>
      </w:r>
      <w:r w:rsidRPr="001C5591">
        <w:rPr>
          <w:rFonts w:asciiTheme="minorHAnsi" w:hAnsiTheme="minorHAnsi" w:cstheme="minorHAnsi"/>
          <w:spacing w:val="-3"/>
        </w:rPr>
        <w:t xml:space="preserve"> </w:t>
      </w:r>
      <w:r w:rsidRPr="001C5591">
        <w:rPr>
          <w:rFonts w:asciiTheme="minorHAnsi" w:hAnsiTheme="minorHAnsi" w:cstheme="minorHAnsi"/>
        </w:rPr>
        <w:t>vector</w:t>
      </w:r>
      <w:r w:rsidRPr="001C5591">
        <w:rPr>
          <w:rFonts w:asciiTheme="minorHAnsi" w:hAnsiTheme="minorHAnsi" w:cstheme="minorHAnsi"/>
          <w:w w:val="99"/>
        </w:rPr>
        <w:t xml:space="preserve"> </w:t>
      </w:r>
      <w:r w:rsidRPr="001C5591">
        <w:rPr>
          <w:rFonts w:asciiTheme="minorHAnsi" w:hAnsiTheme="minorHAnsi" w:cstheme="minorHAnsi"/>
        </w:rPr>
        <w:t>auto</w:t>
      </w:r>
      <w:r w:rsidRPr="001C5591">
        <w:rPr>
          <w:rFonts w:asciiTheme="minorHAnsi" w:hAnsiTheme="minorHAnsi" w:cstheme="minorHAnsi"/>
          <w:spacing w:val="-18"/>
        </w:rPr>
        <w:t xml:space="preserve"> </w:t>
      </w:r>
      <w:r w:rsidRPr="001C5591">
        <w:rPr>
          <w:rFonts w:asciiTheme="minorHAnsi" w:hAnsiTheme="minorHAnsi" w:cstheme="minorHAnsi"/>
        </w:rPr>
        <w:t>regressions</w:t>
      </w:r>
      <w:r w:rsidRPr="001C5591">
        <w:rPr>
          <w:rFonts w:asciiTheme="minorHAnsi" w:hAnsiTheme="minorHAnsi" w:cstheme="minorHAnsi"/>
          <w:spacing w:val="-18"/>
        </w:rPr>
        <w:t xml:space="preserve"> </w:t>
      </w:r>
      <w:r w:rsidRPr="001C5591">
        <w:rPr>
          <w:rFonts w:asciiTheme="minorHAnsi" w:hAnsiTheme="minorHAnsi" w:cstheme="minorHAnsi"/>
        </w:rPr>
        <w:t>(S</w:t>
      </w:r>
      <w:r w:rsidRPr="001C5591">
        <w:rPr>
          <w:rFonts w:asciiTheme="minorHAnsi" w:hAnsiTheme="minorHAnsi" w:cstheme="minorHAnsi"/>
          <w:spacing w:val="-29"/>
        </w:rPr>
        <w:t>V</w:t>
      </w:r>
      <w:r w:rsidRPr="001C5591">
        <w:rPr>
          <w:rFonts w:asciiTheme="minorHAnsi" w:hAnsiTheme="minorHAnsi" w:cstheme="minorHAnsi"/>
        </w:rPr>
        <w:t>AR­IVs)</w:t>
      </w:r>
      <w:r w:rsidR="00F4081E">
        <w:rPr>
          <w:rFonts w:asciiTheme="minorHAnsi" w:hAnsiTheme="minorHAnsi" w:cstheme="minorHAnsi"/>
        </w:rPr>
        <w:t xml:space="preserve"> </w:t>
      </w:r>
      <w:r w:rsidR="00F4081E" w:rsidRPr="00F4081E">
        <w:rPr>
          <w:rFonts w:asciiTheme="minorHAnsi" w:hAnsiTheme="minorHAnsi" w:cstheme="minorHAnsi"/>
        </w:rPr>
        <w:t>methods</w:t>
      </w:r>
      <w:r w:rsidRPr="001C5591">
        <w:rPr>
          <w:rFonts w:asciiTheme="minorHAnsi" w:hAnsiTheme="minorHAnsi" w:cstheme="minorHAnsi"/>
        </w:rPr>
        <w:t>,</w:t>
      </w:r>
      <w:r w:rsidRPr="001C5591">
        <w:rPr>
          <w:rFonts w:asciiTheme="minorHAnsi" w:hAnsiTheme="minorHAnsi" w:cstheme="minorHAnsi"/>
          <w:spacing w:val="-16"/>
        </w:rPr>
        <w:t xml:space="preserve"> </w:t>
      </w:r>
      <w:r w:rsidRPr="001C5591">
        <w:rPr>
          <w:rFonts w:asciiTheme="minorHAnsi" w:hAnsiTheme="minorHAnsi" w:cstheme="minorHAnsi"/>
        </w:rPr>
        <w:t>we</w:t>
      </w:r>
      <w:r w:rsidRPr="001C5591">
        <w:rPr>
          <w:rFonts w:asciiTheme="minorHAnsi" w:hAnsiTheme="minorHAnsi" w:cstheme="minorHAnsi"/>
          <w:spacing w:val="-17"/>
        </w:rPr>
        <w:t xml:space="preserve"> </w:t>
      </w:r>
      <w:r w:rsidRPr="001C5591">
        <w:rPr>
          <w:rFonts w:asciiTheme="minorHAnsi" w:hAnsiTheme="minorHAnsi" w:cstheme="minorHAnsi"/>
        </w:rPr>
        <w:t>document</w:t>
      </w:r>
      <w:r w:rsidRPr="001C5591">
        <w:rPr>
          <w:rFonts w:asciiTheme="minorHAnsi" w:hAnsiTheme="minorHAnsi" w:cstheme="minorHAnsi"/>
          <w:spacing w:val="-18"/>
        </w:rPr>
        <w:t xml:space="preserve"> </w:t>
      </w:r>
      <w:r w:rsidRPr="001C5591">
        <w:rPr>
          <w:rFonts w:asciiTheme="minorHAnsi" w:hAnsiTheme="minorHAnsi" w:cstheme="minorHAnsi"/>
        </w:rPr>
        <w:t>the</w:t>
      </w:r>
      <w:r w:rsidRPr="001C5591">
        <w:rPr>
          <w:rFonts w:asciiTheme="minorHAnsi" w:hAnsiTheme="minorHAnsi" w:cstheme="minorHAnsi"/>
          <w:spacing w:val="-18"/>
        </w:rPr>
        <w:t xml:space="preserve"> </w:t>
      </w:r>
      <w:r w:rsidRPr="001C5591">
        <w:rPr>
          <w:rFonts w:asciiTheme="minorHAnsi" w:hAnsiTheme="minorHAnsi" w:cstheme="minorHAnsi"/>
        </w:rPr>
        <w:t>dynamic</w:t>
      </w:r>
      <w:r w:rsidRPr="001C5591">
        <w:rPr>
          <w:rFonts w:asciiTheme="minorHAnsi" w:hAnsiTheme="minorHAnsi" w:cstheme="minorHAnsi"/>
          <w:spacing w:val="-17"/>
        </w:rPr>
        <w:t xml:space="preserve"> </w:t>
      </w:r>
      <w:r w:rsidRPr="001C5591">
        <w:rPr>
          <w:rFonts w:asciiTheme="minorHAnsi" w:hAnsiTheme="minorHAnsi" w:cstheme="minorHAnsi"/>
        </w:rPr>
        <w:t>causal</w:t>
      </w:r>
      <w:r w:rsidRPr="001C5591">
        <w:rPr>
          <w:rFonts w:asciiTheme="minorHAnsi" w:hAnsiTheme="minorHAnsi" w:cstheme="minorHAnsi"/>
          <w:spacing w:val="-18"/>
        </w:rPr>
        <w:t xml:space="preserve"> </w:t>
      </w:r>
      <w:r w:rsidRPr="001C5591">
        <w:rPr>
          <w:rFonts w:asciiTheme="minorHAnsi" w:hAnsiTheme="minorHAnsi" w:cstheme="minorHAnsi"/>
        </w:rPr>
        <w:t>e</w:t>
      </w:r>
      <w:r w:rsidRPr="001C5591">
        <w:rPr>
          <w:rFonts w:asciiTheme="minorHAnsi" w:hAnsiTheme="minorHAnsi" w:cstheme="minorHAnsi"/>
          <w:spacing w:val="-5"/>
        </w:rPr>
        <w:t>f</w:t>
      </w:r>
      <w:r w:rsidRPr="001C5591">
        <w:rPr>
          <w:rFonts w:asciiTheme="minorHAnsi" w:hAnsiTheme="minorHAnsi" w:cstheme="minorHAnsi"/>
        </w:rPr>
        <w:t>fects</w:t>
      </w:r>
      <w:r w:rsidRPr="001C5591">
        <w:rPr>
          <w:rFonts w:asciiTheme="minorHAnsi" w:hAnsiTheme="minorHAnsi" w:cstheme="minorHAnsi"/>
          <w:spacing w:val="-17"/>
        </w:rPr>
        <w:t xml:space="preserve"> </w:t>
      </w:r>
      <w:r w:rsidRPr="001C5591">
        <w:rPr>
          <w:rFonts w:asciiTheme="minorHAnsi" w:hAnsiTheme="minorHAnsi" w:cstheme="minorHAnsi"/>
        </w:rPr>
        <w:t>of</w:t>
      </w:r>
      <w:r w:rsidRPr="001C5591">
        <w:rPr>
          <w:rFonts w:asciiTheme="minorHAnsi" w:hAnsiTheme="minorHAnsi" w:cstheme="minorHAnsi"/>
          <w:spacing w:val="-18"/>
        </w:rPr>
        <w:t xml:space="preserve"> </w:t>
      </w:r>
      <w:r w:rsidRPr="001C5591">
        <w:rPr>
          <w:rFonts w:asciiTheme="minorHAnsi" w:hAnsiTheme="minorHAnsi" w:cstheme="minorHAnsi"/>
        </w:rPr>
        <w:t>these</w:t>
      </w:r>
      <w:r w:rsidRPr="001C5591">
        <w:rPr>
          <w:rFonts w:asciiTheme="minorHAnsi" w:hAnsiTheme="minorHAnsi" w:cstheme="minorHAnsi"/>
          <w:spacing w:val="-18"/>
        </w:rPr>
        <w:t xml:space="preserve"> </w:t>
      </w:r>
      <w:r w:rsidRPr="001C5591">
        <w:rPr>
          <w:rFonts w:asciiTheme="minorHAnsi" w:hAnsiTheme="minorHAnsi" w:cstheme="minorHAnsi"/>
        </w:rPr>
        <w:t>shocks</w:t>
      </w:r>
      <w:r w:rsidRPr="001C5591">
        <w:rPr>
          <w:rFonts w:asciiTheme="minorHAnsi" w:hAnsiTheme="minorHAnsi" w:cstheme="minorHAnsi"/>
          <w:spacing w:val="-17"/>
        </w:rPr>
        <w:t xml:space="preserve"> </w:t>
      </w:r>
      <w:r w:rsidRPr="001C5591">
        <w:rPr>
          <w:rFonts w:asciiTheme="minorHAnsi" w:hAnsiTheme="minorHAnsi" w:cstheme="minorHAnsi"/>
        </w:rPr>
        <w:t>on</w:t>
      </w:r>
      <w:r w:rsidRPr="001C5591">
        <w:rPr>
          <w:rFonts w:asciiTheme="minorHAnsi" w:hAnsiTheme="minorHAnsi" w:cstheme="minorHAnsi"/>
          <w:spacing w:val="-18"/>
        </w:rPr>
        <w:t xml:space="preserve"> </w:t>
      </w:r>
      <w:r w:rsidR="00F4081E">
        <w:rPr>
          <w:rFonts w:asciiTheme="minorHAnsi" w:hAnsiTheme="minorHAnsi" w:cstheme="minorHAnsi"/>
          <w:spacing w:val="-18"/>
        </w:rPr>
        <w:t xml:space="preserve">the </w:t>
      </w:r>
      <w:r w:rsidRPr="001C5591">
        <w:rPr>
          <w:rFonts w:asciiTheme="minorHAnsi" w:hAnsiTheme="minorHAnsi" w:cstheme="minorHAnsi"/>
        </w:rPr>
        <w:t>India</w:t>
      </w:r>
      <w:r w:rsidR="00F4081E">
        <w:rPr>
          <w:rFonts w:asciiTheme="minorHAnsi" w:hAnsiTheme="minorHAnsi" w:cstheme="minorHAnsi"/>
        </w:rPr>
        <w:t>n economy</w:t>
      </w:r>
      <w:r w:rsidRPr="001C5591">
        <w:rPr>
          <w:rFonts w:asciiTheme="minorHAnsi" w:hAnsiTheme="minorHAnsi" w:cstheme="minorHAnsi"/>
        </w:rPr>
        <w:t>.</w:t>
      </w:r>
      <w:r w:rsidRPr="001C5591">
        <w:rPr>
          <w:rFonts w:asciiTheme="minorHAnsi" w:hAnsiTheme="minorHAnsi" w:cstheme="minorHAnsi"/>
          <w:spacing w:val="5"/>
        </w:rPr>
        <w:t xml:space="preserve"> </w:t>
      </w:r>
      <w:r w:rsidRPr="001C5591">
        <w:rPr>
          <w:rFonts w:asciiTheme="minorHAnsi" w:hAnsiTheme="minorHAnsi" w:cstheme="minorHAnsi"/>
          <w:spacing w:val="-10"/>
        </w:rPr>
        <w:t>We</w:t>
      </w:r>
      <w:r w:rsidRPr="001C5591">
        <w:rPr>
          <w:rFonts w:asciiTheme="minorHAnsi" w:hAnsiTheme="minorHAnsi" w:cstheme="minorHAnsi"/>
          <w:spacing w:val="-19"/>
        </w:rPr>
        <w:t xml:space="preserve"> </w:t>
      </w:r>
      <w:r w:rsidRPr="001C5591">
        <w:rPr>
          <w:rFonts w:asciiTheme="minorHAnsi" w:hAnsiTheme="minorHAnsi" w:cstheme="minorHAnsi"/>
        </w:rPr>
        <w:t>find</w:t>
      </w:r>
      <w:r w:rsidR="001C5591">
        <w:rPr>
          <w:rFonts w:asciiTheme="minorHAnsi" w:hAnsiTheme="minorHAnsi" w:cstheme="minorHAnsi"/>
        </w:rPr>
        <w:t xml:space="preserve"> significant effects of these foreign shocks on both macroeconomic and financial variables. </w:t>
      </w:r>
      <w:r w:rsidR="008E5553">
        <w:rPr>
          <w:rFonts w:asciiTheme="minorHAnsi" w:hAnsiTheme="minorHAnsi" w:cstheme="minorHAnsi"/>
        </w:rPr>
        <w:t xml:space="preserve"> </w:t>
      </w:r>
      <w:r w:rsidR="008E5553" w:rsidRPr="008E5553">
        <w:rPr>
          <w:rFonts w:asciiTheme="minorHAnsi" w:hAnsiTheme="minorHAnsi" w:cstheme="minorHAnsi"/>
        </w:rPr>
        <w:t>Combined, these shocks explain about 15% to 35% of the variation in inflation, output, and financial variables at two to four-year horizons.</w:t>
      </w:r>
      <w:r w:rsidR="008E5553">
        <w:rPr>
          <w:rFonts w:asciiTheme="minorHAnsi" w:hAnsiTheme="minorHAnsi" w:cstheme="minorHAnsi"/>
        </w:rPr>
        <w:t xml:space="preserve"> However,</w:t>
      </w:r>
      <w:r w:rsidR="001C5591">
        <w:rPr>
          <w:rFonts w:asciiTheme="minorHAnsi" w:hAnsiTheme="minorHAnsi" w:cstheme="minorHAnsi"/>
        </w:rPr>
        <w:t xml:space="preserve"> the</w:t>
      </w:r>
      <w:r w:rsidRPr="001C5591">
        <w:rPr>
          <w:rFonts w:asciiTheme="minorHAnsi" w:hAnsiTheme="minorHAnsi" w:cstheme="minorHAnsi"/>
          <w:spacing w:val="-5"/>
        </w:rPr>
        <w:t xml:space="preserve"> </w:t>
      </w:r>
      <w:r w:rsidRPr="001C5591">
        <w:rPr>
          <w:rFonts w:asciiTheme="minorHAnsi" w:hAnsiTheme="minorHAnsi" w:cstheme="minorHAnsi"/>
        </w:rPr>
        <w:t>magnitude</w:t>
      </w:r>
      <w:r w:rsidRPr="001C5591">
        <w:rPr>
          <w:rFonts w:asciiTheme="minorHAnsi" w:hAnsiTheme="minorHAnsi" w:cstheme="minorHAnsi"/>
          <w:spacing w:val="-5"/>
        </w:rPr>
        <w:t xml:space="preserve"> </w:t>
      </w:r>
      <w:r w:rsidRPr="001C5591">
        <w:rPr>
          <w:rFonts w:asciiTheme="minorHAnsi" w:hAnsiTheme="minorHAnsi" w:cstheme="minorHAnsi"/>
        </w:rPr>
        <w:t>of</w:t>
      </w:r>
      <w:r w:rsidRPr="001C5591">
        <w:rPr>
          <w:rFonts w:asciiTheme="minorHAnsi" w:hAnsiTheme="minorHAnsi" w:cstheme="minorHAnsi"/>
          <w:spacing w:val="-5"/>
        </w:rPr>
        <w:t xml:space="preserve"> </w:t>
      </w:r>
      <w:r w:rsidRPr="001C5591">
        <w:rPr>
          <w:rFonts w:asciiTheme="minorHAnsi" w:hAnsiTheme="minorHAnsi" w:cstheme="minorHAnsi"/>
          <w:spacing w:val="-1"/>
        </w:rPr>
        <w:t>effects</w:t>
      </w:r>
      <w:r w:rsidRPr="001C5591">
        <w:rPr>
          <w:rFonts w:asciiTheme="minorHAnsi" w:hAnsiTheme="minorHAnsi" w:cstheme="minorHAnsi"/>
          <w:spacing w:val="-5"/>
        </w:rPr>
        <w:t xml:space="preserve"> </w:t>
      </w:r>
      <w:r w:rsidRPr="001C5591">
        <w:rPr>
          <w:rFonts w:asciiTheme="minorHAnsi" w:hAnsiTheme="minorHAnsi" w:cstheme="minorHAnsi"/>
        </w:rPr>
        <w:t>on</w:t>
      </w:r>
      <w:r w:rsidRPr="001C5591">
        <w:rPr>
          <w:rFonts w:asciiTheme="minorHAnsi" w:hAnsiTheme="minorHAnsi" w:cstheme="minorHAnsi"/>
          <w:spacing w:val="-5"/>
        </w:rPr>
        <w:t xml:space="preserve"> </w:t>
      </w:r>
      <w:r w:rsidR="001C5591">
        <w:rPr>
          <w:rFonts w:asciiTheme="minorHAnsi" w:hAnsiTheme="minorHAnsi" w:cstheme="minorHAnsi"/>
        </w:rPr>
        <w:t>output</w:t>
      </w:r>
      <w:r w:rsidRPr="001C5591">
        <w:rPr>
          <w:rFonts w:asciiTheme="minorHAnsi" w:hAnsiTheme="minorHAnsi" w:cstheme="minorHAnsi"/>
          <w:spacing w:val="-15"/>
        </w:rPr>
        <w:t xml:space="preserve"> </w:t>
      </w:r>
      <w:r w:rsidR="001C5591">
        <w:rPr>
          <w:rFonts w:asciiTheme="minorHAnsi" w:hAnsiTheme="minorHAnsi" w:cstheme="minorHAnsi"/>
        </w:rPr>
        <w:t xml:space="preserve">are lower </w:t>
      </w:r>
      <w:r w:rsidR="001C5591">
        <w:rPr>
          <w:rFonts w:asciiTheme="minorHAnsi" w:hAnsiTheme="minorHAnsi" w:cstheme="minorHAnsi"/>
          <w:spacing w:val="-14"/>
        </w:rPr>
        <w:t xml:space="preserve">relative to </w:t>
      </w:r>
      <w:r w:rsidR="008E5553">
        <w:rPr>
          <w:rFonts w:asciiTheme="minorHAnsi" w:hAnsiTheme="minorHAnsi" w:cstheme="minorHAnsi"/>
          <w:spacing w:val="-14"/>
        </w:rPr>
        <w:t xml:space="preserve">both </w:t>
      </w:r>
      <w:r w:rsidRPr="001C5591">
        <w:rPr>
          <w:rFonts w:asciiTheme="minorHAnsi" w:hAnsiTheme="minorHAnsi" w:cstheme="minorHAnsi"/>
        </w:rPr>
        <w:t>world</w:t>
      </w:r>
      <w:r w:rsidR="001C5591">
        <w:rPr>
          <w:rFonts w:asciiTheme="minorHAnsi" w:hAnsiTheme="minorHAnsi" w:cstheme="minorHAnsi"/>
        </w:rPr>
        <w:t xml:space="preserve"> output </w:t>
      </w:r>
      <w:r w:rsidR="008E5553">
        <w:rPr>
          <w:rFonts w:asciiTheme="minorHAnsi" w:hAnsiTheme="minorHAnsi" w:cstheme="minorHAnsi"/>
        </w:rPr>
        <w:t>and</w:t>
      </w:r>
      <w:r w:rsidR="001C5591">
        <w:rPr>
          <w:rFonts w:asciiTheme="minorHAnsi" w:hAnsiTheme="minorHAnsi" w:cstheme="minorHAnsi"/>
        </w:rPr>
        <w:t xml:space="preserve"> </w:t>
      </w:r>
      <w:r w:rsidR="008E5553">
        <w:rPr>
          <w:rFonts w:asciiTheme="minorHAnsi" w:hAnsiTheme="minorHAnsi" w:cstheme="minorHAnsi"/>
        </w:rPr>
        <w:t xml:space="preserve">output of </w:t>
      </w:r>
      <w:r w:rsidR="001C5591">
        <w:rPr>
          <w:rFonts w:asciiTheme="minorHAnsi" w:hAnsiTheme="minorHAnsi" w:cstheme="minorHAnsi"/>
        </w:rPr>
        <w:t xml:space="preserve">peer developing countries. </w:t>
      </w:r>
      <w:r w:rsidR="007E0B59">
        <w:rPr>
          <w:rFonts w:asciiTheme="minorHAnsi" w:hAnsiTheme="minorHAnsi" w:cstheme="minorHAnsi"/>
        </w:rPr>
        <w:t>While the o</w:t>
      </w:r>
      <w:r w:rsidRPr="001C5591">
        <w:rPr>
          <w:rFonts w:asciiTheme="minorHAnsi" w:hAnsiTheme="minorHAnsi" w:cstheme="minorHAnsi"/>
        </w:rPr>
        <w:t>il</w:t>
      </w:r>
      <w:r w:rsidRPr="001C5591">
        <w:rPr>
          <w:rFonts w:asciiTheme="minorHAnsi" w:hAnsiTheme="minorHAnsi" w:cstheme="minorHAnsi"/>
          <w:spacing w:val="-17"/>
        </w:rPr>
        <w:t xml:space="preserve"> </w:t>
      </w:r>
      <w:r w:rsidRPr="001C5591">
        <w:rPr>
          <w:rFonts w:asciiTheme="minorHAnsi" w:hAnsiTheme="minorHAnsi" w:cstheme="minorHAnsi"/>
        </w:rPr>
        <w:t>shock</w:t>
      </w:r>
      <w:r w:rsidR="007E0B59">
        <w:rPr>
          <w:rFonts w:asciiTheme="minorHAnsi" w:hAnsiTheme="minorHAnsi" w:cstheme="minorHAnsi"/>
        </w:rPr>
        <w:t xml:space="preserve"> behaves like a traditional supply shock, the US monetary policy and economic policy uncertainty shocks look </w:t>
      </w:r>
      <w:r w:rsidR="008779F4">
        <w:rPr>
          <w:rFonts w:asciiTheme="minorHAnsi" w:hAnsiTheme="minorHAnsi" w:cstheme="minorHAnsi"/>
        </w:rPr>
        <w:t xml:space="preserve">more </w:t>
      </w:r>
      <w:r w:rsidR="007E0B59">
        <w:rPr>
          <w:rFonts w:asciiTheme="minorHAnsi" w:hAnsiTheme="minorHAnsi" w:cstheme="minorHAnsi"/>
        </w:rPr>
        <w:t xml:space="preserve">like domestic demand shocks. </w:t>
      </w:r>
      <w:r w:rsidR="00F4081E">
        <w:rPr>
          <w:rFonts w:asciiTheme="minorHAnsi" w:hAnsiTheme="minorHAnsi" w:cstheme="minorHAnsi"/>
        </w:rPr>
        <w:t xml:space="preserve"> We discuss the implications for stabilization policy. </w:t>
      </w:r>
    </w:p>
    <w:p w14:paraId="27742F71" w14:textId="77777777" w:rsidR="00DA473E" w:rsidRPr="00961753" w:rsidRDefault="00DA473E" w:rsidP="00DA473E">
      <w:pPr>
        <w:pStyle w:val="BodyText"/>
        <w:kinsoku w:val="0"/>
        <w:overflowPunct w:val="0"/>
        <w:spacing w:line="240" w:lineRule="auto"/>
        <w:ind w:left="718" w:right="695"/>
        <w:rPr>
          <w:rFonts w:ascii="Cambria" w:hAnsi="Cambria" w:cstheme="minorHAnsi"/>
        </w:rPr>
      </w:pPr>
    </w:p>
    <w:p w14:paraId="2F4CD599" w14:textId="0D29CCED" w:rsidR="00DA473E" w:rsidRPr="00961753" w:rsidRDefault="00DA473E" w:rsidP="00BB297E">
      <w:pPr>
        <w:pStyle w:val="BodyText"/>
        <w:kinsoku w:val="0"/>
        <w:overflowPunct w:val="0"/>
        <w:spacing w:line="240" w:lineRule="auto"/>
        <w:ind w:left="718" w:firstLine="0"/>
        <w:rPr>
          <w:rFonts w:ascii="Cambria" w:hAnsi="Cambria" w:cstheme="minorHAnsi"/>
        </w:rPr>
      </w:pPr>
      <w:r w:rsidRPr="00961753">
        <w:rPr>
          <w:rFonts w:ascii="Cambria" w:hAnsi="Cambria" w:cstheme="minorHAnsi"/>
          <w:iCs/>
          <w:spacing w:val="-1"/>
          <w:u w:val="single"/>
        </w:rPr>
        <w:t>Keywords</w:t>
      </w:r>
      <w:r w:rsidRPr="00961753">
        <w:rPr>
          <w:rFonts w:ascii="Cambria" w:hAnsi="Cambria" w:cstheme="minorHAnsi"/>
          <w:spacing w:val="-1"/>
        </w:rPr>
        <w:t>:</w:t>
      </w:r>
      <w:r w:rsidRPr="00961753">
        <w:rPr>
          <w:rFonts w:ascii="Cambria" w:hAnsi="Cambria" w:cstheme="minorHAnsi"/>
          <w:spacing w:val="6"/>
        </w:rPr>
        <w:t xml:space="preserve"> </w:t>
      </w:r>
      <w:r w:rsidRPr="00961753">
        <w:rPr>
          <w:rFonts w:ascii="Cambria" w:hAnsi="Cambria" w:cstheme="minorHAnsi"/>
        </w:rPr>
        <w:t>foreign</w:t>
      </w:r>
      <w:r w:rsidRPr="00961753">
        <w:rPr>
          <w:rFonts w:ascii="Cambria" w:hAnsi="Cambria" w:cstheme="minorHAnsi"/>
          <w:spacing w:val="-9"/>
        </w:rPr>
        <w:t xml:space="preserve"> </w:t>
      </w:r>
      <w:r w:rsidRPr="00961753">
        <w:rPr>
          <w:rFonts w:ascii="Cambria" w:hAnsi="Cambria" w:cstheme="minorHAnsi"/>
        </w:rPr>
        <w:t>shocks,</w:t>
      </w:r>
      <w:r w:rsidRPr="00961753">
        <w:rPr>
          <w:rFonts w:ascii="Cambria" w:hAnsi="Cambria" w:cstheme="minorHAnsi"/>
          <w:spacing w:val="-9"/>
        </w:rPr>
        <w:t xml:space="preserve"> </w:t>
      </w:r>
      <w:r w:rsidRPr="00961753">
        <w:rPr>
          <w:rFonts w:ascii="Cambria" w:hAnsi="Cambria" w:cstheme="minorHAnsi"/>
        </w:rPr>
        <w:t>Indian</w:t>
      </w:r>
      <w:r w:rsidRPr="00961753">
        <w:rPr>
          <w:rFonts w:ascii="Cambria" w:hAnsi="Cambria" w:cstheme="minorHAnsi"/>
          <w:spacing w:val="-9"/>
        </w:rPr>
        <w:t xml:space="preserve"> </w:t>
      </w:r>
      <w:r w:rsidRPr="00961753">
        <w:rPr>
          <w:rFonts w:ascii="Cambria" w:hAnsi="Cambria" w:cstheme="minorHAnsi"/>
          <w:spacing w:val="-2"/>
        </w:rPr>
        <w:t>economy,</w:t>
      </w:r>
      <w:r w:rsidRPr="00961753">
        <w:rPr>
          <w:rFonts w:ascii="Cambria" w:hAnsi="Cambria" w:cstheme="minorHAnsi"/>
          <w:spacing w:val="-9"/>
        </w:rPr>
        <w:t xml:space="preserve"> </w:t>
      </w:r>
      <w:r w:rsidR="009F3F26">
        <w:rPr>
          <w:rFonts w:ascii="Cambria" w:hAnsi="Cambria" w:cstheme="minorHAnsi"/>
        </w:rPr>
        <w:t>external instruments</w:t>
      </w:r>
    </w:p>
    <w:p w14:paraId="31AB165D" w14:textId="77777777" w:rsidR="00DA473E" w:rsidRPr="00961753" w:rsidRDefault="00DA473E" w:rsidP="00DA473E">
      <w:pPr>
        <w:pStyle w:val="BodyText"/>
        <w:kinsoku w:val="0"/>
        <w:overflowPunct w:val="0"/>
        <w:spacing w:before="195"/>
        <w:rPr>
          <w:rFonts w:ascii="Cambria" w:hAnsi="Cambria" w:cstheme="minorHAnsi"/>
        </w:rPr>
      </w:pPr>
      <w:r w:rsidRPr="00961753">
        <w:rPr>
          <w:rFonts w:ascii="Cambria" w:hAnsi="Cambria" w:cstheme="minorHAnsi"/>
          <w:iCs/>
        </w:rPr>
        <w:t xml:space="preserve"> </w:t>
      </w:r>
      <w:r w:rsidRPr="00961753">
        <w:rPr>
          <w:rFonts w:ascii="Cambria" w:hAnsi="Cambria" w:cstheme="minorHAnsi"/>
          <w:iCs/>
        </w:rPr>
        <w:tab/>
      </w:r>
      <w:r w:rsidRPr="00961753">
        <w:rPr>
          <w:rFonts w:ascii="Cambria" w:hAnsi="Cambria" w:cstheme="minorHAnsi"/>
          <w:iCs/>
          <w:u w:val="single"/>
        </w:rPr>
        <w:t>JEL</w:t>
      </w:r>
      <w:r w:rsidRPr="00961753">
        <w:rPr>
          <w:rFonts w:ascii="Cambria" w:hAnsi="Cambria" w:cstheme="minorHAnsi"/>
          <w:iCs/>
          <w:spacing w:val="-7"/>
          <w:u w:val="single"/>
        </w:rPr>
        <w:t xml:space="preserve"> </w:t>
      </w:r>
      <w:r w:rsidRPr="00961753">
        <w:rPr>
          <w:rFonts w:ascii="Cambria" w:hAnsi="Cambria" w:cstheme="minorHAnsi"/>
          <w:iCs/>
          <w:u w:val="single"/>
        </w:rPr>
        <w:t>Classifications</w:t>
      </w:r>
      <w:r w:rsidRPr="00961753">
        <w:rPr>
          <w:rFonts w:ascii="Cambria" w:hAnsi="Cambria" w:cstheme="minorHAnsi"/>
        </w:rPr>
        <w:t>:</w:t>
      </w:r>
      <w:r w:rsidRPr="00961753">
        <w:rPr>
          <w:rFonts w:ascii="Cambria" w:hAnsi="Cambria" w:cstheme="minorHAnsi"/>
          <w:spacing w:val="9"/>
        </w:rPr>
        <w:t xml:space="preserve"> </w:t>
      </w:r>
      <w:r w:rsidRPr="00961753">
        <w:rPr>
          <w:rFonts w:ascii="Cambria" w:hAnsi="Cambria" w:cstheme="minorHAnsi"/>
        </w:rPr>
        <w:t>F4,</w:t>
      </w:r>
      <w:r w:rsidRPr="00961753">
        <w:rPr>
          <w:rFonts w:ascii="Cambria" w:hAnsi="Cambria" w:cstheme="minorHAnsi"/>
          <w:spacing w:val="-7"/>
        </w:rPr>
        <w:t xml:space="preserve"> </w:t>
      </w:r>
      <w:r w:rsidRPr="00961753">
        <w:rPr>
          <w:rFonts w:ascii="Cambria" w:hAnsi="Cambria" w:cstheme="minorHAnsi"/>
        </w:rPr>
        <w:t>E5,</w:t>
      </w:r>
      <w:r w:rsidRPr="00961753">
        <w:rPr>
          <w:rFonts w:ascii="Cambria" w:hAnsi="Cambria" w:cstheme="minorHAnsi"/>
          <w:spacing w:val="-7"/>
        </w:rPr>
        <w:t xml:space="preserve"> </w:t>
      </w:r>
      <w:r w:rsidRPr="00961753">
        <w:rPr>
          <w:rFonts w:ascii="Cambria" w:hAnsi="Cambria" w:cstheme="minorHAnsi"/>
        </w:rPr>
        <w:t>C3</w:t>
      </w:r>
    </w:p>
    <w:p w14:paraId="0B85C814" w14:textId="77777777" w:rsidR="00DA473E" w:rsidRPr="00961753" w:rsidRDefault="00DA473E" w:rsidP="00DA473E">
      <w:pPr>
        <w:pStyle w:val="BodyText"/>
        <w:kinsoku w:val="0"/>
        <w:overflowPunct w:val="0"/>
        <w:spacing w:before="195"/>
        <w:ind w:left="772"/>
        <w:rPr>
          <w:rFonts w:ascii="Cambria" w:hAnsi="Cambria" w:cstheme="minorHAnsi"/>
        </w:rPr>
      </w:pPr>
    </w:p>
    <w:p w14:paraId="26595606" w14:textId="6E8EE047" w:rsidR="00DA473E" w:rsidRPr="00961753" w:rsidRDefault="00DA473E" w:rsidP="00DA473E">
      <w:pPr>
        <w:pStyle w:val="BodyText"/>
        <w:kinsoku w:val="0"/>
        <w:overflowPunct w:val="0"/>
        <w:spacing w:before="195" w:line="240" w:lineRule="auto"/>
        <w:ind w:left="772"/>
        <w:rPr>
          <w:rFonts w:ascii="Cambria" w:hAnsi="Cambria" w:cstheme="minorHAnsi"/>
        </w:rPr>
      </w:pPr>
    </w:p>
    <w:p w14:paraId="41C20334" w14:textId="4B01A6F9" w:rsidR="00BB297E" w:rsidRPr="00961753" w:rsidRDefault="00BB297E" w:rsidP="00961753">
      <w:pPr>
        <w:pStyle w:val="BodyText"/>
        <w:kinsoku w:val="0"/>
        <w:overflowPunct w:val="0"/>
        <w:spacing w:before="195" w:line="240" w:lineRule="auto"/>
        <w:ind w:left="0" w:firstLine="0"/>
        <w:rPr>
          <w:rFonts w:ascii="Cambria" w:hAnsi="Cambria" w:cstheme="minorHAnsi"/>
        </w:rPr>
      </w:pPr>
    </w:p>
    <w:p w14:paraId="196F8A6E" w14:textId="77777777" w:rsidR="00BB297E" w:rsidRPr="00961753" w:rsidRDefault="00BB297E" w:rsidP="00DA473E">
      <w:pPr>
        <w:pStyle w:val="BodyText"/>
        <w:kinsoku w:val="0"/>
        <w:overflowPunct w:val="0"/>
        <w:spacing w:before="195" w:line="240" w:lineRule="auto"/>
        <w:ind w:left="772"/>
        <w:rPr>
          <w:rFonts w:ascii="Cambria" w:hAnsi="Cambria" w:cstheme="minorHAnsi"/>
        </w:rPr>
      </w:pPr>
    </w:p>
    <w:p w14:paraId="4C45E4D8" w14:textId="77777777" w:rsidR="00DA473E" w:rsidRPr="00961753" w:rsidRDefault="00DA473E" w:rsidP="00DA473E">
      <w:pPr>
        <w:pStyle w:val="BodyText"/>
        <w:kinsoku w:val="0"/>
        <w:overflowPunct w:val="0"/>
        <w:spacing w:before="8"/>
        <w:ind w:left="0"/>
        <w:rPr>
          <w:rFonts w:ascii="Cambria" w:hAnsi="Cambria" w:cstheme="minorHAnsi"/>
          <w:sz w:val="27"/>
          <w:szCs w:val="27"/>
        </w:rPr>
      </w:pPr>
    </w:p>
    <w:p w14:paraId="306902F1" w14:textId="77777777" w:rsidR="00DA473E" w:rsidRPr="00961753" w:rsidRDefault="00DA473E" w:rsidP="00DA473E">
      <w:pPr>
        <w:pStyle w:val="BodyText"/>
        <w:kinsoku w:val="0"/>
        <w:overflowPunct w:val="0"/>
        <w:spacing w:line="20" w:lineRule="atLeast"/>
        <w:ind w:left="116"/>
        <w:rPr>
          <w:rFonts w:ascii="Cambria" w:hAnsi="Cambria" w:cstheme="minorHAnsi"/>
          <w:sz w:val="2"/>
          <w:szCs w:val="2"/>
        </w:rPr>
      </w:pPr>
      <w:r w:rsidRPr="00961753">
        <w:rPr>
          <w:rFonts w:ascii="Cambria" w:hAnsi="Cambria" w:cstheme="minorHAnsi"/>
          <w:noProof/>
          <w:sz w:val="2"/>
          <w:szCs w:val="2"/>
        </w:rPr>
        <mc:AlternateContent>
          <mc:Choice Requires="wpg">
            <w:drawing>
              <wp:inline distT="0" distB="0" distL="0" distR="0" wp14:anchorId="46E1FB12" wp14:editId="6669B2D6">
                <wp:extent cx="2423160" cy="12700"/>
                <wp:effectExtent l="0" t="0" r="2540" b="0"/>
                <wp:docPr id="21020" name="Group 20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160" cy="12700"/>
                          <a:chOff x="0" y="0"/>
                          <a:chExt cx="3816" cy="20"/>
                        </a:xfrm>
                      </wpg:grpSpPr>
                      <wps:wsp>
                        <wps:cNvPr id="21021" name="Freeform 20836"/>
                        <wps:cNvSpPr>
                          <a:spLocks/>
                        </wps:cNvSpPr>
                        <wps:spPr bwMode="auto">
                          <a:xfrm>
                            <a:off x="3" y="3"/>
                            <a:ext cx="3808" cy="20"/>
                          </a:xfrm>
                          <a:custGeom>
                            <a:avLst/>
                            <a:gdLst>
                              <a:gd name="T0" fmla="*/ 0 w 3808"/>
                              <a:gd name="T1" fmla="*/ 0 h 20"/>
                              <a:gd name="T2" fmla="*/ 3807 w 3808"/>
                              <a:gd name="T3" fmla="*/ 0 h 20"/>
                            </a:gdLst>
                            <a:ahLst/>
                            <a:cxnLst>
                              <a:cxn ang="0">
                                <a:pos x="T0" y="T1"/>
                              </a:cxn>
                              <a:cxn ang="0">
                                <a:pos x="T2" y="T3"/>
                              </a:cxn>
                            </a:cxnLst>
                            <a:rect l="0" t="0" r="r" b="b"/>
                            <a:pathLst>
                              <a:path w="3808" h="20">
                                <a:moveTo>
                                  <a:pt x="0" y="0"/>
                                </a:moveTo>
                                <a:lnTo>
                                  <a:pt x="380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7BE17" id="Group 20835" o:spid="_x0000_s1026" style="width:190.8pt;height:1pt;mso-position-horizontal-relative:char;mso-position-vertical-relative:line" coordsize="3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">
                <v:shape id="Freeform 20836" o:spid="_x0000_s1027" style="position:absolute;left:3;top:3;width:3808;height:20;visibility:visible;mso-wrap-style:square;v-text-anchor:top" coordsize="3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" path="m,l3807,e" filled="f" strokeweight=".14056mm">
                  <v:path arrowok="t" o:connecttype="custom" o:connectlocs="0,0;3807,0" o:connectangles="0,0"/>
                </v:shape>
                <w10:anchorlock/>
              </v:group>
            </w:pict>
          </mc:Fallback>
        </mc:AlternateContent>
      </w:r>
    </w:p>
    <w:p w14:paraId="47A2B489" w14:textId="46CB8B07" w:rsidR="00DA473E" w:rsidRPr="00961753" w:rsidRDefault="00DA473E" w:rsidP="00DA473E">
      <w:pPr>
        <w:pStyle w:val="BodyText"/>
        <w:kinsoku w:val="0"/>
        <w:overflowPunct w:val="0"/>
        <w:spacing w:before="11" w:line="249" w:lineRule="auto"/>
        <w:ind w:left="120" w:right="26" w:firstLine="265"/>
        <w:rPr>
          <w:rFonts w:ascii="Cambria" w:hAnsi="Cambria" w:cstheme="minorHAnsi"/>
          <w:sz w:val="20"/>
          <w:szCs w:val="20"/>
        </w:rPr>
      </w:pPr>
      <w:r w:rsidRPr="00961753">
        <w:rPr>
          <w:rFonts w:ascii="Cambria" w:hAnsi="Cambria" w:cstheme="minorHAnsi"/>
          <w:position w:val="3"/>
          <w:sz w:val="16"/>
          <w:szCs w:val="16"/>
        </w:rPr>
        <w:t>*</w:t>
      </w:r>
      <w:r w:rsidRPr="00961753">
        <w:rPr>
          <w:rFonts w:ascii="Cambria" w:hAnsi="Cambria" w:cstheme="minorHAnsi"/>
          <w:spacing w:val="-9"/>
          <w:sz w:val="20"/>
          <w:szCs w:val="20"/>
        </w:rPr>
        <w:t>We</w:t>
      </w:r>
      <w:r w:rsidRPr="00961753">
        <w:rPr>
          <w:rFonts w:ascii="Cambria" w:hAnsi="Cambria" w:cstheme="minorHAnsi"/>
          <w:spacing w:val="-15"/>
          <w:sz w:val="20"/>
          <w:szCs w:val="20"/>
        </w:rPr>
        <w:t xml:space="preserve"> </w:t>
      </w:r>
      <w:r w:rsidRPr="00961753">
        <w:rPr>
          <w:rFonts w:ascii="Cambria" w:hAnsi="Cambria" w:cstheme="minorHAnsi"/>
          <w:sz w:val="20"/>
          <w:szCs w:val="20"/>
        </w:rPr>
        <w:t>are</w:t>
      </w:r>
      <w:r w:rsidRPr="00961753">
        <w:rPr>
          <w:rFonts w:ascii="Cambria" w:hAnsi="Cambria" w:cstheme="minorHAnsi"/>
          <w:spacing w:val="-15"/>
          <w:sz w:val="20"/>
          <w:szCs w:val="20"/>
        </w:rPr>
        <w:t xml:space="preserve"> </w:t>
      </w:r>
      <w:r w:rsidRPr="00961753">
        <w:rPr>
          <w:rFonts w:ascii="Cambria" w:hAnsi="Cambria" w:cstheme="minorHAnsi"/>
          <w:sz w:val="20"/>
          <w:szCs w:val="20"/>
        </w:rPr>
        <w:t>grateful</w:t>
      </w:r>
      <w:r w:rsidRPr="00961753">
        <w:rPr>
          <w:rFonts w:ascii="Cambria" w:hAnsi="Cambria" w:cstheme="minorHAnsi"/>
          <w:spacing w:val="-15"/>
          <w:sz w:val="20"/>
          <w:szCs w:val="20"/>
        </w:rPr>
        <w:t xml:space="preserve"> </w:t>
      </w:r>
      <w:r w:rsidRPr="00961753">
        <w:rPr>
          <w:rFonts w:ascii="Cambria" w:hAnsi="Cambria" w:cstheme="minorHAnsi"/>
          <w:sz w:val="20"/>
          <w:szCs w:val="20"/>
        </w:rPr>
        <w:t>to</w:t>
      </w:r>
      <w:r w:rsidRPr="00961753">
        <w:rPr>
          <w:rFonts w:ascii="Cambria" w:hAnsi="Cambria" w:cstheme="minorHAnsi"/>
          <w:spacing w:val="-14"/>
          <w:sz w:val="20"/>
          <w:szCs w:val="20"/>
        </w:rPr>
        <w:t xml:space="preserve"> </w:t>
      </w:r>
      <w:r w:rsidRPr="00961753">
        <w:rPr>
          <w:rFonts w:ascii="Cambria" w:hAnsi="Cambria" w:cstheme="minorHAnsi"/>
          <w:sz w:val="20"/>
          <w:szCs w:val="20"/>
        </w:rPr>
        <w:t>Barry</w:t>
      </w:r>
      <w:r w:rsidRPr="00961753">
        <w:rPr>
          <w:rFonts w:ascii="Cambria" w:hAnsi="Cambria" w:cstheme="minorHAnsi"/>
          <w:spacing w:val="-15"/>
          <w:sz w:val="20"/>
          <w:szCs w:val="20"/>
        </w:rPr>
        <w:t xml:space="preserve"> </w:t>
      </w:r>
      <w:r w:rsidRPr="00961753">
        <w:rPr>
          <w:rFonts w:ascii="Cambria" w:hAnsi="Cambria" w:cstheme="minorHAnsi"/>
          <w:sz w:val="20"/>
          <w:szCs w:val="20"/>
        </w:rPr>
        <w:t xml:space="preserve">Bosworth, Ken </w:t>
      </w:r>
      <w:proofErr w:type="spellStart"/>
      <w:r w:rsidRPr="00961753">
        <w:rPr>
          <w:rFonts w:ascii="Cambria" w:hAnsi="Cambria" w:cstheme="minorHAnsi"/>
          <w:sz w:val="20"/>
          <w:szCs w:val="20"/>
        </w:rPr>
        <w:t>Kletzer</w:t>
      </w:r>
      <w:proofErr w:type="spellEnd"/>
      <w:r w:rsidRPr="00961753">
        <w:rPr>
          <w:rFonts w:ascii="Cambria" w:hAnsi="Cambria" w:cstheme="minorHAnsi"/>
          <w:sz w:val="20"/>
          <w:szCs w:val="20"/>
        </w:rPr>
        <w:t xml:space="preserve">, Mihir Desai, </w:t>
      </w:r>
      <w:proofErr w:type="spellStart"/>
      <w:r w:rsidRPr="00961753">
        <w:rPr>
          <w:rFonts w:ascii="Cambria" w:hAnsi="Cambria" w:cstheme="minorHAnsi"/>
          <w:sz w:val="20"/>
          <w:szCs w:val="20"/>
        </w:rPr>
        <w:t>Pami</w:t>
      </w:r>
      <w:proofErr w:type="spellEnd"/>
      <w:r w:rsidRPr="00961753">
        <w:rPr>
          <w:rFonts w:ascii="Cambria" w:hAnsi="Cambria" w:cstheme="minorHAnsi"/>
          <w:sz w:val="20"/>
          <w:szCs w:val="20"/>
        </w:rPr>
        <w:t xml:space="preserve"> </w:t>
      </w:r>
      <w:proofErr w:type="spellStart"/>
      <w:r w:rsidRPr="00961753">
        <w:rPr>
          <w:rFonts w:ascii="Cambria" w:hAnsi="Cambria" w:cstheme="minorHAnsi"/>
          <w:sz w:val="20"/>
          <w:szCs w:val="20"/>
        </w:rPr>
        <w:t>Dua</w:t>
      </w:r>
      <w:proofErr w:type="spellEnd"/>
      <w:r w:rsidRPr="00961753">
        <w:rPr>
          <w:rFonts w:ascii="Cambria" w:hAnsi="Cambria" w:cstheme="minorHAnsi"/>
          <w:sz w:val="20"/>
          <w:szCs w:val="20"/>
        </w:rPr>
        <w:t xml:space="preserve">, Karthik Muralidharan, Shekhar Shah, Rajeswari Sengupta, Abhijit Banerjee, </w:t>
      </w:r>
      <w:proofErr w:type="spellStart"/>
      <w:r w:rsidRPr="00961753">
        <w:rPr>
          <w:rFonts w:ascii="Cambria" w:hAnsi="Cambria" w:cstheme="minorHAnsi"/>
          <w:sz w:val="20"/>
          <w:szCs w:val="20"/>
        </w:rPr>
        <w:t>Montek</w:t>
      </w:r>
      <w:proofErr w:type="spellEnd"/>
      <w:r w:rsidRPr="00961753">
        <w:rPr>
          <w:rFonts w:ascii="Cambria" w:hAnsi="Cambria" w:cstheme="minorHAnsi"/>
          <w:sz w:val="20"/>
          <w:szCs w:val="20"/>
        </w:rPr>
        <w:t xml:space="preserve"> Singh Ahluwalia, Rakesh Mohan, Anne Krueger, </w:t>
      </w:r>
      <w:proofErr w:type="spellStart"/>
      <w:r w:rsidRPr="00961753">
        <w:rPr>
          <w:rFonts w:ascii="Cambria" w:hAnsi="Cambria" w:cstheme="minorHAnsi"/>
          <w:sz w:val="20"/>
          <w:szCs w:val="20"/>
        </w:rPr>
        <w:t>Nirvi</w:t>
      </w:r>
      <w:r w:rsidR="00BB297E" w:rsidRPr="00961753">
        <w:rPr>
          <w:rFonts w:ascii="Cambria" w:hAnsi="Cambria" w:cstheme="minorHAnsi"/>
          <w:sz w:val="20"/>
          <w:szCs w:val="20"/>
        </w:rPr>
        <w:t>r</w:t>
      </w:r>
      <w:r w:rsidRPr="00961753">
        <w:rPr>
          <w:rFonts w:ascii="Cambria" w:hAnsi="Cambria" w:cstheme="minorHAnsi"/>
          <w:sz w:val="20"/>
          <w:szCs w:val="20"/>
        </w:rPr>
        <w:t>kar</w:t>
      </w:r>
      <w:proofErr w:type="spellEnd"/>
      <w:r w:rsidRPr="00961753">
        <w:rPr>
          <w:rFonts w:ascii="Cambria" w:hAnsi="Cambria" w:cstheme="minorHAnsi"/>
          <w:sz w:val="20"/>
          <w:szCs w:val="20"/>
        </w:rPr>
        <w:t xml:space="preserve"> Singh and Rajnish </w:t>
      </w:r>
      <w:proofErr w:type="spellStart"/>
      <w:r w:rsidRPr="00961753">
        <w:rPr>
          <w:rFonts w:ascii="Cambria" w:hAnsi="Cambria" w:cstheme="minorHAnsi"/>
          <w:sz w:val="20"/>
          <w:szCs w:val="20"/>
        </w:rPr>
        <w:t>Mehra</w:t>
      </w:r>
      <w:proofErr w:type="spellEnd"/>
      <w:r w:rsidRPr="00961753">
        <w:rPr>
          <w:rFonts w:ascii="Cambria" w:hAnsi="Cambria" w:cstheme="minorHAnsi"/>
          <w:spacing w:val="-14"/>
          <w:sz w:val="20"/>
          <w:szCs w:val="20"/>
        </w:rPr>
        <w:t xml:space="preserve"> </w:t>
      </w:r>
      <w:r w:rsidRPr="00961753">
        <w:rPr>
          <w:rFonts w:ascii="Cambria" w:hAnsi="Cambria" w:cstheme="minorHAnsi"/>
          <w:sz w:val="20"/>
          <w:szCs w:val="20"/>
        </w:rPr>
        <w:t>for</w:t>
      </w:r>
      <w:r w:rsidRPr="00961753">
        <w:rPr>
          <w:rFonts w:ascii="Cambria" w:hAnsi="Cambria" w:cstheme="minorHAnsi"/>
          <w:spacing w:val="-15"/>
          <w:sz w:val="20"/>
          <w:szCs w:val="20"/>
        </w:rPr>
        <w:t xml:space="preserve"> </w:t>
      </w:r>
      <w:r w:rsidRPr="00961753">
        <w:rPr>
          <w:rFonts w:ascii="Cambria" w:hAnsi="Cambria" w:cstheme="minorHAnsi"/>
          <w:sz w:val="20"/>
          <w:szCs w:val="20"/>
        </w:rPr>
        <w:t>useful</w:t>
      </w:r>
      <w:r w:rsidRPr="00961753">
        <w:rPr>
          <w:rFonts w:ascii="Cambria" w:hAnsi="Cambria" w:cstheme="minorHAnsi"/>
          <w:spacing w:val="-14"/>
          <w:sz w:val="20"/>
          <w:szCs w:val="20"/>
        </w:rPr>
        <w:t xml:space="preserve"> </w:t>
      </w:r>
      <w:r w:rsidRPr="00961753">
        <w:rPr>
          <w:rFonts w:ascii="Cambria" w:hAnsi="Cambria" w:cstheme="minorHAnsi"/>
          <w:sz w:val="20"/>
          <w:szCs w:val="20"/>
        </w:rPr>
        <w:t>comments</w:t>
      </w:r>
      <w:r w:rsidRPr="00961753">
        <w:rPr>
          <w:rFonts w:ascii="Cambria" w:hAnsi="Cambria" w:cstheme="minorHAnsi"/>
          <w:spacing w:val="28"/>
          <w:w w:val="99"/>
          <w:sz w:val="20"/>
          <w:szCs w:val="20"/>
        </w:rPr>
        <w:t xml:space="preserve"> </w:t>
      </w:r>
      <w:r w:rsidRPr="00961753">
        <w:rPr>
          <w:rFonts w:ascii="Cambria" w:hAnsi="Cambria" w:cstheme="minorHAnsi"/>
          <w:sz w:val="20"/>
          <w:szCs w:val="20"/>
        </w:rPr>
        <w:t>and</w:t>
      </w:r>
      <w:r w:rsidRPr="00961753">
        <w:rPr>
          <w:rFonts w:ascii="Cambria" w:hAnsi="Cambria" w:cstheme="minorHAnsi"/>
          <w:spacing w:val="-6"/>
          <w:sz w:val="20"/>
          <w:szCs w:val="20"/>
        </w:rPr>
        <w:t xml:space="preserve"> </w:t>
      </w:r>
      <w:r w:rsidRPr="00961753">
        <w:rPr>
          <w:rFonts w:ascii="Cambria" w:hAnsi="Cambria" w:cstheme="minorHAnsi"/>
          <w:sz w:val="20"/>
          <w:szCs w:val="20"/>
        </w:rPr>
        <w:t>suggestions</w:t>
      </w:r>
      <w:r w:rsidRPr="00961753">
        <w:rPr>
          <w:rFonts w:ascii="Cambria" w:hAnsi="Cambria" w:cstheme="minorHAnsi"/>
          <w:spacing w:val="-6"/>
          <w:sz w:val="20"/>
          <w:szCs w:val="20"/>
        </w:rPr>
        <w:t xml:space="preserve">.  </w:t>
      </w:r>
    </w:p>
    <w:p w14:paraId="47F4D591" w14:textId="251A7BDD" w:rsidR="00DA473E" w:rsidRPr="00961753" w:rsidRDefault="00DA473E" w:rsidP="00DA473E">
      <w:pPr>
        <w:pStyle w:val="BodyText"/>
        <w:kinsoku w:val="0"/>
        <w:overflowPunct w:val="0"/>
        <w:spacing w:line="229" w:lineRule="exact"/>
        <w:ind w:left="399"/>
        <w:rPr>
          <w:rFonts w:ascii="Cambria" w:hAnsi="Cambria" w:cstheme="minorHAnsi"/>
          <w:color w:val="000000"/>
          <w:sz w:val="20"/>
          <w:szCs w:val="20"/>
        </w:rPr>
      </w:pPr>
      <w:r w:rsidRPr="00961753">
        <w:rPr>
          <w:rFonts w:ascii="Cambria" w:hAnsi="Cambria" w:cstheme="minorHAnsi"/>
          <w:position w:val="7"/>
          <w:sz w:val="20"/>
          <w:szCs w:val="20"/>
        </w:rPr>
        <w:t>†</w:t>
      </w:r>
      <w:r w:rsidRPr="00961753">
        <w:rPr>
          <w:rFonts w:ascii="Cambria" w:hAnsi="Cambria" w:cstheme="minorHAnsi"/>
          <w:iCs/>
          <w:sz w:val="20"/>
          <w:szCs w:val="20"/>
        </w:rPr>
        <w:t>Corresponding</w:t>
      </w:r>
      <w:r w:rsidRPr="00961753">
        <w:rPr>
          <w:rFonts w:ascii="Cambria" w:hAnsi="Cambria" w:cstheme="minorHAnsi"/>
          <w:iCs/>
          <w:spacing w:val="-10"/>
          <w:sz w:val="20"/>
          <w:szCs w:val="20"/>
        </w:rPr>
        <w:t xml:space="preserve"> </w:t>
      </w:r>
      <w:r w:rsidRPr="00961753">
        <w:rPr>
          <w:rFonts w:ascii="Cambria" w:hAnsi="Cambria" w:cstheme="minorHAnsi"/>
          <w:iCs/>
          <w:sz w:val="20"/>
          <w:szCs w:val="20"/>
        </w:rPr>
        <w:t>author:</w:t>
      </w:r>
      <w:r w:rsidRPr="00961753">
        <w:rPr>
          <w:rFonts w:ascii="Cambria" w:hAnsi="Cambria" w:cstheme="minorHAnsi"/>
          <w:iCs/>
          <w:spacing w:val="3"/>
          <w:sz w:val="20"/>
          <w:szCs w:val="20"/>
        </w:rPr>
        <w:t xml:space="preserve"> </w:t>
      </w:r>
      <w:r w:rsidRPr="00961753">
        <w:rPr>
          <w:rFonts w:ascii="Cambria" w:hAnsi="Cambria" w:cstheme="minorHAnsi"/>
          <w:sz w:val="20"/>
          <w:szCs w:val="20"/>
        </w:rPr>
        <w:t>Department</w:t>
      </w:r>
      <w:r w:rsidRPr="00961753">
        <w:rPr>
          <w:rFonts w:ascii="Cambria" w:hAnsi="Cambria" w:cstheme="minorHAnsi"/>
          <w:spacing w:val="-9"/>
          <w:sz w:val="20"/>
          <w:szCs w:val="20"/>
        </w:rPr>
        <w:t xml:space="preserve"> </w:t>
      </w:r>
      <w:r w:rsidRPr="00961753">
        <w:rPr>
          <w:rFonts w:ascii="Cambria" w:hAnsi="Cambria" w:cstheme="minorHAnsi"/>
          <w:sz w:val="20"/>
          <w:szCs w:val="20"/>
        </w:rPr>
        <w:t>of</w:t>
      </w:r>
      <w:r w:rsidRPr="00961753">
        <w:rPr>
          <w:rFonts w:ascii="Cambria" w:hAnsi="Cambria" w:cstheme="minorHAnsi"/>
          <w:spacing w:val="-10"/>
          <w:sz w:val="20"/>
          <w:szCs w:val="20"/>
        </w:rPr>
        <w:t xml:space="preserve"> </w:t>
      </w:r>
      <w:r w:rsidRPr="00961753">
        <w:rPr>
          <w:rFonts w:ascii="Cambria" w:hAnsi="Cambria" w:cstheme="minorHAnsi"/>
          <w:sz w:val="20"/>
          <w:szCs w:val="20"/>
        </w:rPr>
        <w:t>Economics,</w:t>
      </w:r>
      <w:r w:rsidRPr="00961753">
        <w:rPr>
          <w:rFonts w:ascii="Cambria" w:hAnsi="Cambria" w:cstheme="minorHAnsi"/>
          <w:spacing w:val="-10"/>
          <w:sz w:val="20"/>
          <w:szCs w:val="20"/>
        </w:rPr>
        <w:t xml:space="preserve"> </w:t>
      </w:r>
      <w:r w:rsidRPr="00961753">
        <w:rPr>
          <w:rFonts w:ascii="Cambria" w:hAnsi="Cambria" w:cstheme="minorHAnsi"/>
          <w:sz w:val="20"/>
          <w:szCs w:val="20"/>
        </w:rPr>
        <w:t>Wake Forest</w:t>
      </w:r>
      <w:r w:rsidRPr="00961753">
        <w:rPr>
          <w:rFonts w:ascii="Cambria" w:hAnsi="Cambria" w:cstheme="minorHAnsi"/>
          <w:spacing w:val="-10"/>
          <w:sz w:val="20"/>
          <w:szCs w:val="20"/>
        </w:rPr>
        <w:t xml:space="preserve"> </w:t>
      </w:r>
      <w:r w:rsidRPr="00961753">
        <w:rPr>
          <w:rFonts w:ascii="Cambria" w:hAnsi="Cambria" w:cstheme="minorHAnsi"/>
          <w:sz w:val="20"/>
          <w:szCs w:val="20"/>
        </w:rPr>
        <w:t>University</w:t>
      </w:r>
      <w:r w:rsidRPr="00961753">
        <w:rPr>
          <w:rFonts w:ascii="Cambria" w:hAnsi="Cambria" w:cstheme="minorHAnsi"/>
          <w:spacing w:val="-10"/>
          <w:sz w:val="20"/>
          <w:szCs w:val="20"/>
        </w:rPr>
        <w:t xml:space="preserve"> </w:t>
      </w:r>
      <w:r w:rsidRPr="00961753">
        <w:rPr>
          <w:rFonts w:ascii="Cambria" w:hAnsi="Cambria" w:cstheme="minorHAnsi"/>
          <w:spacing w:val="-1"/>
          <w:sz w:val="20"/>
          <w:szCs w:val="20"/>
        </w:rPr>
        <w:t>(</w:t>
      </w:r>
      <w:r w:rsidRPr="00961753">
        <w:rPr>
          <w:rFonts w:ascii="Cambria" w:hAnsi="Cambria" w:cstheme="minorHAnsi"/>
          <w:color w:val="EC008C"/>
          <w:spacing w:val="-1"/>
          <w:sz w:val="20"/>
          <w:szCs w:val="20"/>
        </w:rPr>
        <w:t>lakdawa@wfu.edu</w:t>
      </w:r>
      <w:r w:rsidRPr="00961753">
        <w:rPr>
          <w:rFonts w:ascii="Cambria" w:hAnsi="Cambria" w:cstheme="minorHAnsi"/>
          <w:color w:val="000000"/>
          <w:spacing w:val="-1"/>
          <w:sz w:val="20"/>
          <w:szCs w:val="20"/>
        </w:rPr>
        <w:t>).</w:t>
      </w:r>
    </w:p>
    <w:p w14:paraId="2B6BBADA" w14:textId="566060A4" w:rsidR="00DA473E" w:rsidRDefault="00DA473E" w:rsidP="00BB297E">
      <w:pPr>
        <w:pStyle w:val="BodyText"/>
        <w:kinsoku w:val="0"/>
        <w:overflowPunct w:val="0"/>
        <w:spacing w:line="242" w:lineRule="exact"/>
        <w:ind w:left="399"/>
        <w:rPr>
          <w:rFonts w:ascii="Cambria" w:hAnsi="Cambria" w:cstheme="minorHAnsi"/>
          <w:color w:val="000000"/>
          <w:spacing w:val="-1"/>
          <w:sz w:val="20"/>
          <w:szCs w:val="20"/>
        </w:rPr>
      </w:pPr>
      <w:r w:rsidRPr="00961753">
        <w:rPr>
          <w:rFonts w:ascii="Cambria" w:hAnsi="Cambria" w:cstheme="minorHAnsi"/>
          <w:position w:val="7"/>
          <w:sz w:val="20"/>
          <w:szCs w:val="20"/>
        </w:rPr>
        <w:t>‡</w:t>
      </w:r>
      <w:r w:rsidRPr="00961753">
        <w:rPr>
          <w:rFonts w:ascii="Cambria" w:hAnsi="Cambria" w:cstheme="minorHAnsi"/>
          <w:sz w:val="20"/>
          <w:szCs w:val="20"/>
        </w:rPr>
        <w:t>Department</w:t>
      </w:r>
      <w:r w:rsidRPr="00961753">
        <w:rPr>
          <w:rFonts w:ascii="Cambria" w:hAnsi="Cambria" w:cstheme="minorHAnsi"/>
          <w:spacing w:val="-11"/>
          <w:sz w:val="20"/>
          <w:szCs w:val="20"/>
        </w:rPr>
        <w:t xml:space="preserve"> </w:t>
      </w:r>
      <w:r w:rsidRPr="00961753">
        <w:rPr>
          <w:rFonts w:ascii="Cambria" w:hAnsi="Cambria" w:cstheme="minorHAnsi"/>
          <w:sz w:val="20"/>
          <w:szCs w:val="20"/>
        </w:rPr>
        <w:t>of</w:t>
      </w:r>
      <w:r w:rsidRPr="00961753">
        <w:rPr>
          <w:rFonts w:ascii="Cambria" w:hAnsi="Cambria" w:cstheme="minorHAnsi"/>
          <w:spacing w:val="-10"/>
          <w:sz w:val="20"/>
          <w:szCs w:val="20"/>
        </w:rPr>
        <w:t xml:space="preserve"> </w:t>
      </w:r>
      <w:r w:rsidRPr="00961753">
        <w:rPr>
          <w:rFonts w:ascii="Cambria" w:hAnsi="Cambria" w:cstheme="minorHAnsi"/>
          <w:sz w:val="20"/>
          <w:szCs w:val="20"/>
        </w:rPr>
        <w:t>Economics,</w:t>
      </w:r>
      <w:r w:rsidRPr="00961753">
        <w:rPr>
          <w:rFonts w:ascii="Cambria" w:hAnsi="Cambria" w:cstheme="minorHAnsi"/>
          <w:spacing w:val="-10"/>
          <w:sz w:val="20"/>
          <w:szCs w:val="20"/>
        </w:rPr>
        <w:t xml:space="preserve"> </w:t>
      </w:r>
      <w:r w:rsidRPr="00961753">
        <w:rPr>
          <w:rFonts w:ascii="Cambria" w:hAnsi="Cambria" w:cstheme="minorHAnsi"/>
          <w:sz w:val="20"/>
          <w:szCs w:val="20"/>
        </w:rPr>
        <w:t>University</w:t>
      </w:r>
      <w:r w:rsidRPr="00961753">
        <w:rPr>
          <w:rFonts w:ascii="Cambria" w:hAnsi="Cambria" w:cstheme="minorHAnsi"/>
          <w:spacing w:val="-10"/>
          <w:sz w:val="20"/>
          <w:szCs w:val="20"/>
        </w:rPr>
        <w:t xml:space="preserve"> </w:t>
      </w:r>
      <w:r w:rsidRPr="00961753">
        <w:rPr>
          <w:rFonts w:ascii="Cambria" w:hAnsi="Cambria" w:cstheme="minorHAnsi"/>
          <w:sz w:val="20"/>
          <w:szCs w:val="20"/>
        </w:rPr>
        <w:t>of</w:t>
      </w:r>
      <w:r w:rsidRPr="00961753">
        <w:rPr>
          <w:rFonts w:ascii="Cambria" w:hAnsi="Cambria" w:cstheme="minorHAnsi"/>
          <w:spacing w:val="-10"/>
          <w:sz w:val="20"/>
          <w:szCs w:val="20"/>
        </w:rPr>
        <w:t xml:space="preserve"> </w:t>
      </w:r>
      <w:r w:rsidRPr="00961753">
        <w:rPr>
          <w:rFonts w:ascii="Cambria" w:hAnsi="Cambria" w:cstheme="minorHAnsi"/>
          <w:sz w:val="20"/>
          <w:szCs w:val="20"/>
        </w:rPr>
        <w:t>California,</w:t>
      </w:r>
      <w:r w:rsidRPr="00961753">
        <w:rPr>
          <w:rFonts w:ascii="Cambria" w:hAnsi="Cambria" w:cstheme="minorHAnsi"/>
          <w:spacing w:val="-10"/>
          <w:sz w:val="20"/>
          <w:szCs w:val="20"/>
        </w:rPr>
        <w:t xml:space="preserve"> </w:t>
      </w:r>
      <w:r w:rsidRPr="00961753">
        <w:rPr>
          <w:rFonts w:ascii="Cambria" w:hAnsi="Cambria" w:cstheme="minorHAnsi"/>
          <w:sz w:val="20"/>
          <w:szCs w:val="20"/>
        </w:rPr>
        <w:t>Davis</w:t>
      </w:r>
      <w:r w:rsidRPr="00961753">
        <w:rPr>
          <w:rFonts w:ascii="Cambria" w:hAnsi="Cambria" w:cstheme="minorHAnsi"/>
          <w:spacing w:val="-11"/>
          <w:sz w:val="20"/>
          <w:szCs w:val="20"/>
        </w:rPr>
        <w:t xml:space="preserve"> </w:t>
      </w:r>
      <w:r w:rsidRPr="00961753">
        <w:rPr>
          <w:rFonts w:ascii="Cambria" w:hAnsi="Cambria" w:cstheme="minorHAnsi"/>
          <w:spacing w:val="-1"/>
          <w:sz w:val="20"/>
          <w:szCs w:val="20"/>
        </w:rPr>
        <w:t>(</w:t>
      </w:r>
      <w:hyperlink r:id="rId8" w:history="1">
        <w:r w:rsidRPr="00961753">
          <w:rPr>
            <w:rFonts w:ascii="Cambria" w:hAnsi="Cambria" w:cstheme="minorHAnsi"/>
            <w:color w:val="EC008C"/>
            <w:spacing w:val="-1"/>
            <w:sz w:val="20"/>
            <w:szCs w:val="20"/>
          </w:rPr>
          <w:t>sjrsingh@ucdavis.edu</w:t>
        </w:r>
      </w:hyperlink>
      <w:r w:rsidRPr="00961753">
        <w:rPr>
          <w:rFonts w:ascii="Cambria" w:hAnsi="Cambria" w:cstheme="minorHAnsi"/>
          <w:color w:val="000000"/>
          <w:spacing w:val="-1"/>
          <w:sz w:val="20"/>
          <w:szCs w:val="20"/>
        </w:rPr>
        <w:t>).</w:t>
      </w:r>
    </w:p>
    <w:p w14:paraId="4A685330" w14:textId="14B77CBF" w:rsidR="00F4748F" w:rsidRDefault="00F4748F" w:rsidP="00BB297E">
      <w:pPr>
        <w:pStyle w:val="BodyText"/>
        <w:kinsoku w:val="0"/>
        <w:overflowPunct w:val="0"/>
        <w:spacing w:line="242" w:lineRule="exact"/>
        <w:ind w:left="399"/>
        <w:rPr>
          <w:rFonts w:ascii="Cambria" w:hAnsi="Cambria" w:cstheme="minorHAnsi"/>
          <w:color w:val="000000"/>
          <w:sz w:val="20"/>
          <w:szCs w:val="20"/>
        </w:rPr>
      </w:pPr>
    </w:p>
    <w:p w14:paraId="5E39618F" w14:textId="5A60914D" w:rsidR="008E5553" w:rsidRDefault="008E5553" w:rsidP="00BB297E">
      <w:pPr>
        <w:pStyle w:val="BodyText"/>
        <w:kinsoku w:val="0"/>
        <w:overflowPunct w:val="0"/>
        <w:spacing w:line="242" w:lineRule="exact"/>
        <w:ind w:left="399"/>
        <w:rPr>
          <w:rFonts w:ascii="Cambria" w:hAnsi="Cambria" w:cstheme="minorHAnsi"/>
          <w:color w:val="000000"/>
          <w:sz w:val="20"/>
          <w:szCs w:val="20"/>
        </w:rPr>
      </w:pPr>
    </w:p>
    <w:p w14:paraId="45B31575" w14:textId="77777777" w:rsidR="008E5553" w:rsidRDefault="008E5553" w:rsidP="00BB297E">
      <w:pPr>
        <w:pStyle w:val="BodyText"/>
        <w:kinsoku w:val="0"/>
        <w:overflowPunct w:val="0"/>
        <w:spacing w:line="242" w:lineRule="exact"/>
        <w:ind w:left="399"/>
        <w:rPr>
          <w:rFonts w:ascii="Cambria" w:hAnsi="Cambria" w:cstheme="minorHAnsi"/>
          <w:color w:val="000000"/>
          <w:sz w:val="20"/>
          <w:szCs w:val="20"/>
        </w:rPr>
      </w:pPr>
    </w:p>
    <w:p w14:paraId="7C0137C5" w14:textId="77777777" w:rsidR="006A5D32" w:rsidRDefault="006A5D32" w:rsidP="00BB297E">
      <w:pPr>
        <w:pStyle w:val="BodyText"/>
        <w:kinsoku w:val="0"/>
        <w:overflowPunct w:val="0"/>
        <w:spacing w:line="242" w:lineRule="exact"/>
        <w:ind w:left="399"/>
        <w:rPr>
          <w:rFonts w:ascii="Cambria" w:hAnsi="Cambria" w:cstheme="minorHAnsi"/>
          <w:color w:val="000000"/>
          <w:sz w:val="20"/>
          <w:szCs w:val="20"/>
        </w:rPr>
      </w:pPr>
    </w:p>
    <w:p w14:paraId="47E42E77" w14:textId="77777777" w:rsidR="00F4748F" w:rsidRPr="00961753" w:rsidRDefault="00F4748F" w:rsidP="00BB297E">
      <w:pPr>
        <w:pStyle w:val="BodyText"/>
        <w:kinsoku w:val="0"/>
        <w:overflowPunct w:val="0"/>
        <w:spacing w:line="242" w:lineRule="exact"/>
        <w:ind w:left="399"/>
        <w:rPr>
          <w:rFonts w:ascii="Cambria" w:hAnsi="Cambria" w:cstheme="minorHAnsi"/>
          <w:color w:val="000000"/>
          <w:sz w:val="20"/>
          <w:szCs w:val="20"/>
        </w:rPr>
      </w:pPr>
    </w:p>
    <w:p w14:paraId="7DD1CCEF" w14:textId="77777777" w:rsidR="006A5D32" w:rsidRDefault="0089589F" w:rsidP="006A5D32">
      <w:pPr>
        <w:jc w:val="both"/>
        <w:rPr>
          <w:rFonts w:ascii="Cambria" w:hAnsi="Cambria"/>
          <w:color w:val="000000" w:themeColor="text1"/>
          <w:sz w:val="24"/>
          <w:szCs w:val="24"/>
        </w:rPr>
      </w:pPr>
      <w:r w:rsidRPr="001C7CF1">
        <w:rPr>
          <w:rFonts w:ascii="Cambria" w:hAnsi="Cambria"/>
          <w:color w:val="000000" w:themeColor="text1"/>
          <w:sz w:val="24"/>
          <w:szCs w:val="24"/>
        </w:rPr>
        <w:lastRenderedPageBreak/>
        <w:t xml:space="preserve">In recent years, increases in financial and trade linkages to the rest of the world has exposed India to global economic spillovers. This has worked through a variety of channels, including reliance on imported oil, exposure of financial markets to capital flows driven by global financial cycle and fluctuations in the exchange rate.  These and other channels have contributed to the inclusion of India in the </w:t>
      </w:r>
      <w:r w:rsidR="00BB297E" w:rsidRPr="001C7CF1">
        <w:rPr>
          <w:rFonts w:ascii="Cambria" w:hAnsi="Cambria"/>
          <w:color w:val="000000" w:themeColor="text1"/>
          <w:sz w:val="24"/>
          <w:szCs w:val="24"/>
        </w:rPr>
        <w:t>“</w:t>
      </w:r>
      <w:r w:rsidRPr="001C7CF1">
        <w:rPr>
          <w:rFonts w:ascii="Cambria" w:hAnsi="Cambria"/>
          <w:color w:val="000000" w:themeColor="text1"/>
          <w:sz w:val="24"/>
          <w:szCs w:val="24"/>
        </w:rPr>
        <w:t>fragile five</w:t>
      </w:r>
      <w:r w:rsidR="00BB297E" w:rsidRPr="001C7CF1">
        <w:rPr>
          <w:rFonts w:ascii="Cambria" w:hAnsi="Cambria"/>
          <w:color w:val="000000" w:themeColor="text1"/>
          <w:sz w:val="24"/>
          <w:szCs w:val="24"/>
        </w:rPr>
        <w:t>”</w:t>
      </w:r>
      <w:r w:rsidRPr="001C7CF1">
        <w:rPr>
          <w:rFonts w:ascii="Cambria" w:hAnsi="Cambria"/>
          <w:color w:val="000000" w:themeColor="text1"/>
          <w:sz w:val="24"/>
          <w:szCs w:val="24"/>
        </w:rPr>
        <w:t xml:space="preserve"> during the recent </w:t>
      </w:r>
      <w:r w:rsidR="00EF04CC" w:rsidRPr="001C7CF1">
        <w:rPr>
          <w:rFonts w:ascii="Cambria" w:hAnsi="Cambria"/>
          <w:color w:val="000000" w:themeColor="text1"/>
          <w:sz w:val="24"/>
          <w:szCs w:val="24"/>
        </w:rPr>
        <w:t>“</w:t>
      </w:r>
      <w:r w:rsidRPr="001C7CF1">
        <w:rPr>
          <w:rFonts w:ascii="Cambria" w:hAnsi="Cambria"/>
          <w:color w:val="000000" w:themeColor="text1"/>
          <w:sz w:val="24"/>
          <w:szCs w:val="24"/>
        </w:rPr>
        <w:t>taper tantrums</w:t>
      </w:r>
      <w:r w:rsidR="00EF04CC" w:rsidRPr="001C7CF1">
        <w:rPr>
          <w:rFonts w:ascii="Cambria" w:hAnsi="Cambria"/>
          <w:color w:val="000000" w:themeColor="text1"/>
          <w:sz w:val="24"/>
          <w:szCs w:val="24"/>
        </w:rPr>
        <w:t>”</w:t>
      </w:r>
      <w:r w:rsidRPr="001C7CF1">
        <w:rPr>
          <w:rFonts w:ascii="Cambria" w:hAnsi="Cambria"/>
          <w:color w:val="000000" w:themeColor="text1"/>
          <w:sz w:val="24"/>
          <w:szCs w:val="24"/>
        </w:rPr>
        <w:t>' episode.</w:t>
      </w:r>
      <w:r w:rsidR="00BB297E" w:rsidRPr="001C7CF1">
        <w:rPr>
          <w:rStyle w:val="FootnoteReference"/>
          <w:rFonts w:ascii="Cambria" w:hAnsi="Cambria"/>
          <w:color w:val="000000" w:themeColor="text1"/>
          <w:sz w:val="24"/>
          <w:szCs w:val="24"/>
        </w:rPr>
        <w:footnoteReference w:id="1"/>
      </w:r>
    </w:p>
    <w:p w14:paraId="361118F1" w14:textId="13D8C387" w:rsidR="004130BD" w:rsidRPr="004130BD" w:rsidRDefault="004130BD" w:rsidP="006A5D32">
      <w:pPr>
        <w:jc w:val="both"/>
        <w:rPr>
          <w:rFonts w:ascii="Cambria" w:hAnsi="Cambria"/>
          <w:color w:val="000000" w:themeColor="text1"/>
          <w:sz w:val="24"/>
          <w:szCs w:val="24"/>
        </w:rPr>
      </w:pPr>
      <w:r w:rsidRPr="004130BD">
        <w:rPr>
          <w:rFonts w:ascii="Cambria" w:hAnsi="Cambria"/>
          <w:color w:val="000000" w:themeColor="text1"/>
          <w:sz w:val="24"/>
          <w:szCs w:val="24"/>
        </w:rPr>
        <w:t>While there has been much work studying the transmission of foreign shocks to emerging economies, there has been surprisingly little research that specifically answers these questions for the Indian macroeconomy.  In this paper, we document the impact of foreign shocks on Indian macroeconomy. Our contribution is along two main dimensions. First, we focus on estimating dynamic causal effects of international shocks using the recently developed method of identification through external instruments. Second, we consider a comprehensive set of external shocks that are likely to have been important for driving economic fluctuations in India.</w:t>
      </w:r>
    </w:p>
    <w:p w14:paraId="48F6A93F" w14:textId="60F5F349" w:rsidR="004130BD" w:rsidRPr="004130BD" w:rsidRDefault="004130BD" w:rsidP="006A5D32">
      <w:pPr>
        <w:pStyle w:val="NormalWeb"/>
        <w:jc w:val="both"/>
        <w:rPr>
          <w:rFonts w:ascii="Cambria" w:hAnsi="Cambria"/>
          <w:color w:val="000000" w:themeColor="text1"/>
        </w:rPr>
      </w:pPr>
      <w:r w:rsidRPr="004130BD">
        <w:rPr>
          <w:rFonts w:ascii="Cambria" w:hAnsi="Cambria"/>
          <w:color w:val="000000" w:themeColor="text1"/>
        </w:rPr>
        <w:t xml:space="preserve">A key challenge in estimating dynamic causal relationships boils down to finding random variation in the treatment of interest. To tackle this issue, we rely on the recent progress made in the empirical macroeconomics literature in identifying exogenous macroeconomic shocks using a variety of new methodological innovations, see Ramey (2016) for an excellent recent survey.  We incorporate these measures of identified exogenous shocks in a structural framework using both the local projections and structural vector autoregression frameworks. Within these frameworks we follow the recent modeling innovation of the external instruments approach, where the methodology involves using information outside (or external to) the core model to achieve the restrictions required for estimating causal relationships, see the work of Stock &amp; Watson (2002), Mertens &amp; </w:t>
      </w:r>
      <w:proofErr w:type="spellStart"/>
      <w:r w:rsidRPr="004130BD">
        <w:rPr>
          <w:rFonts w:ascii="Cambria" w:hAnsi="Cambria"/>
          <w:color w:val="000000" w:themeColor="text1"/>
        </w:rPr>
        <w:t>Ravn</w:t>
      </w:r>
      <w:proofErr w:type="spellEnd"/>
      <w:r w:rsidRPr="004130BD">
        <w:rPr>
          <w:rFonts w:ascii="Cambria" w:hAnsi="Cambria"/>
          <w:color w:val="000000" w:themeColor="text1"/>
        </w:rPr>
        <w:t xml:space="preserve"> (2013), Ramey &amp; </w:t>
      </w:r>
      <w:proofErr w:type="spellStart"/>
      <w:r w:rsidRPr="004130BD">
        <w:rPr>
          <w:rFonts w:ascii="Cambria" w:hAnsi="Cambria"/>
          <w:color w:val="000000" w:themeColor="text1"/>
        </w:rPr>
        <w:t>Zubairy</w:t>
      </w:r>
      <w:proofErr w:type="spellEnd"/>
      <w:r w:rsidRPr="004130BD">
        <w:rPr>
          <w:rFonts w:ascii="Cambria" w:hAnsi="Cambria"/>
          <w:color w:val="000000" w:themeColor="text1"/>
        </w:rPr>
        <w:t xml:space="preserve"> (2018)</w:t>
      </w:r>
      <w:r w:rsidR="00F77E8E">
        <w:rPr>
          <w:rFonts w:ascii="Cambria" w:hAnsi="Cambria"/>
          <w:color w:val="000000" w:themeColor="text1"/>
        </w:rPr>
        <w:t>,</w:t>
      </w:r>
      <w:r w:rsidR="00E91F55">
        <w:rPr>
          <w:rFonts w:ascii="Cambria" w:hAnsi="Cambria"/>
          <w:color w:val="000000" w:themeColor="text1"/>
        </w:rPr>
        <w:t xml:space="preserve"> and </w:t>
      </w:r>
      <w:proofErr w:type="spellStart"/>
      <w:r w:rsidR="00E91F55" w:rsidRPr="005C0BA6">
        <w:rPr>
          <w:rFonts w:ascii="Cambria" w:hAnsi="Cambria"/>
          <w:bCs/>
          <w:iCs/>
          <w:color w:val="000000" w:themeColor="text1"/>
        </w:rPr>
        <w:t>Jordà</w:t>
      </w:r>
      <w:proofErr w:type="spellEnd"/>
      <w:r w:rsidR="00E91F55" w:rsidRPr="004130BD">
        <w:rPr>
          <w:rFonts w:ascii="Cambria" w:hAnsi="Cambria"/>
          <w:bCs/>
          <w:i/>
          <w:iCs/>
          <w:color w:val="000000" w:themeColor="text1"/>
        </w:rPr>
        <w:t xml:space="preserve">, </w:t>
      </w:r>
      <w:r w:rsidR="00E91F55">
        <w:rPr>
          <w:rFonts w:ascii="Cambria" w:hAnsi="Cambria"/>
          <w:color w:val="000000" w:themeColor="text1"/>
        </w:rPr>
        <w:t>Singh</w:t>
      </w:r>
      <w:r w:rsidR="00E91F55" w:rsidRPr="004130BD">
        <w:rPr>
          <w:rFonts w:ascii="Cambria" w:hAnsi="Cambria"/>
          <w:color w:val="000000" w:themeColor="text1"/>
        </w:rPr>
        <w:t xml:space="preserve"> &amp; Taylor (20</w:t>
      </w:r>
      <w:r w:rsidR="00E91F55">
        <w:rPr>
          <w:rFonts w:ascii="Cambria" w:hAnsi="Cambria"/>
          <w:color w:val="000000" w:themeColor="text1"/>
        </w:rPr>
        <w:t>20</w:t>
      </w:r>
      <w:r w:rsidR="00E91F55" w:rsidRPr="004130BD">
        <w:rPr>
          <w:rFonts w:ascii="Cambria" w:hAnsi="Cambria"/>
          <w:color w:val="000000" w:themeColor="text1"/>
        </w:rPr>
        <w:t>)</w:t>
      </w:r>
      <w:r w:rsidRPr="004130BD">
        <w:rPr>
          <w:rFonts w:ascii="Cambria" w:hAnsi="Cambria"/>
          <w:color w:val="000000" w:themeColor="text1"/>
        </w:rPr>
        <w:t xml:space="preserve">. Stock &amp; Watson (2018) provide a survey of this literature focusing on the two main techniques of LP-IV (local projections instrument variables) and SVAR-IV (structural vector autoregression instrumental variable). Based on the relevance for the Indian economy, our focus is on a core set of shocks which include U.S. monetary policy, oil supply, commodity prices, </w:t>
      </w:r>
      <w:r w:rsidR="007E0B59" w:rsidRPr="004130BD">
        <w:rPr>
          <w:rFonts w:ascii="Cambria" w:hAnsi="Cambria"/>
          <w:color w:val="000000" w:themeColor="text1"/>
        </w:rPr>
        <w:t>uncertainty,</w:t>
      </w:r>
      <w:r w:rsidRPr="004130BD">
        <w:rPr>
          <w:rFonts w:ascii="Cambria" w:hAnsi="Cambria"/>
          <w:color w:val="000000" w:themeColor="text1"/>
        </w:rPr>
        <w:t xml:space="preserve"> and geopolitical risk.</w:t>
      </w:r>
    </w:p>
    <w:p w14:paraId="23EF5EE9" w14:textId="77777777" w:rsidR="004130BD" w:rsidRDefault="004130BD" w:rsidP="006A5D32">
      <w:pPr>
        <w:pStyle w:val="NormalWeb"/>
        <w:jc w:val="both"/>
        <w:rPr>
          <w:rFonts w:ascii="Cambria" w:hAnsi="Cambria"/>
          <w:color w:val="000000" w:themeColor="text1"/>
        </w:rPr>
      </w:pPr>
      <w:r w:rsidRPr="004130BD">
        <w:rPr>
          <w:rFonts w:ascii="Cambria" w:hAnsi="Cambria"/>
          <w:color w:val="000000" w:themeColor="text1"/>
        </w:rPr>
        <w:t>As documented by Miranda-</w:t>
      </w:r>
      <w:proofErr w:type="spellStart"/>
      <w:r w:rsidRPr="004130BD">
        <w:rPr>
          <w:rFonts w:ascii="Cambria" w:hAnsi="Cambria"/>
          <w:color w:val="000000" w:themeColor="text1"/>
        </w:rPr>
        <w:t>Agrippino</w:t>
      </w:r>
      <w:proofErr w:type="spellEnd"/>
      <w:r w:rsidRPr="004130BD">
        <w:rPr>
          <w:rFonts w:ascii="Cambria" w:hAnsi="Cambria"/>
          <w:color w:val="000000" w:themeColor="text1"/>
        </w:rPr>
        <w:t xml:space="preserve"> &amp; Rey (2018), there is a global financial cycle that is important for driving international flows and that the source of this cycle is the US Federal Reserve.  Additionally, new work by Lakdawala (2018) shows that the spillover effects of US monetary policy to Indian financial markets has increased since the early 2000s. We incorporate US monetary shocks into our analysis by using high frequency changes in futures rates around the policy announcements of the Federal Open Market Committee (FOMC). The futures rates incorporate market expectations and thus any change in these futures rates in a narrow window around the FOMC announcement are likely due to unexpected changes in the monetary policy announcement. This approach has been used widely in the recent literature studying US monetary policy, see Gertler &amp; Karadi (2015) for example. </w:t>
      </w:r>
    </w:p>
    <w:p w14:paraId="21F92B84" w14:textId="77777777" w:rsidR="004130BD" w:rsidRPr="004130BD" w:rsidRDefault="004130BD" w:rsidP="006A5D32">
      <w:pPr>
        <w:pStyle w:val="NormalWeb"/>
        <w:jc w:val="both"/>
        <w:rPr>
          <w:rFonts w:ascii="Cambria" w:hAnsi="Cambria"/>
          <w:color w:val="000000" w:themeColor="text1"/>
        </w:rPr>
      </w:pPr>
      <w:r w:rsidRPr="004130BD">
        <w:rPr>
          <w:rFonts w:ascii="Cambria" w:hAnsi="Cambria"/>
          <w:color w:val="000000" w:themeColor="text1"/>
        </w:rPr>
        <w:lastRenderedPageBreak/>
        <w:t xml:space="preserve">According to the International Energy Agency, as of 2018, India was the third largest importer of crude oil.  Hence, another important source of foreign shocks for the Indian economy is the fluctuations in the global price of oil.  Since India accounts for a large share of total world oil consumption, changes in India's demand for oil are likely to be an important driver of the global price of oil, making causal identification of oil price shocks problematic.  However, India's contribution to world oil production is less than 1% and thus supply disruptions in India are unlikely to be a contributor to changes in the global price of oil.  Thus, we use an exogenous measure of oil supply shocks to identify the causal effect of disruptions in the global oil market to the Indian economy.  While there is a long literature on separating oil demand from oil supply shocks, see for example Kilian (2009), we use the recently developed measure of oil supply shocks in Baumeister &amp; Hamilton (2019). They use a Bayesian approach to rigorously incorporate prior information about supply and demand elasticities to identify oil supply shocks. </w:t>
      </w:r>
    </w:p>
    <w:p w14:paraId="4EC49B5D" w14:textId="77777777" w:rsidR="004130BD" w:rsidRPr="004130BD" w:rsidRDefault="004130BD" w:rsidP="006A5D32">
      <w:pPr>
        <w:pStyle w:val="NormalWeb"/>
        <w:jc w:val="both"/>
        <w:rPr>
          <w:rFonts w:ascii="Cambria" w:hAnsi="Cambria"/>
          <w:color w:val="000000" w:themeColor="text1"/>
        </w:rPr>
      </w:pPr>
      <w:r w:rsidRPr="004130BD">
        <w:rPr>
          <w:rFonts w:ascii="Cambria" w:hAnsi="Cambria"/>
          <w:color w:val="000000" w:themeColor="text1"/>
        </w:rPr>
        <w:t xml:space="preserve">Our final two measures of baseline foreign shocks involve uncertainty.  In a recent speech, Bank of England Governor Mark Carney (Carney, 2016) outlined an “uncertainty trinity” composed of economic, policy and geopolitical uncertainty as being important factors for economic activity.  Recent work has also highlighted the importance of uncertainty and risk aversion for international asset prices and capital flows, see for example the work of Rey (2015) and Bruno &amp; Shin (2015). There is also evidence for the substantial effects of US uncertainty on emerging economies, see Bhattarai, Chatterjee &amp; Park (2017). For recent work exploring the impact of US uncertainty on the Indian economy see Ghosh, </w:t>
      </w:r>
      <w:proofErr w:type="spellStart"/>
      <w:r w:rsidRPr="004130BD">
        <w:rPr>
          <w:rFonts w:ascii="Cambria" w:hAnsi="Cambria"/>
          <w:color w:val="000000" w:themeColor="text1"/>
        </w:rPr>
        <w:t>Sahu</w:t>
      </w:r>
      <w:proofErr w:type="spellEnd"/>
      <w:r w:rsidRPr="004130BD">
        <w:rPr>
          <w:rFonts w:ascii="Cambria" w:hAnsi="Cambria"/>
          <w:color w:val="000000" w:themeColor="text1"/>
        </w:rPr>
        <w:t xml:space="preserve"> &amp; Chattopadhyay (2017).  We proxy uncertainty with two measures that are constructed from newspaper analyses by counting the relative frequency of certain key terms. The first measure proxies for global economic policy uncertainty, constructed by Baker et al. (2016), and the second measure is a proxy for geopolitical risk, constructed by Caldara &amp; </w:t>
      </w:r>
      <w:proofErr w:type="spellStart"/>
      <w:r w:rsidRPr="004130BD">
        <w:rPr>
          <w:rFonts w:ascii="Cambria" w:hAnsi="Cambria"/>
          <w:color w:val="000000" w:themeColor="text1"/>
        </w:rPr>
        <w:t>Iacoviello</w:t>
      </w:r>
      <w:proofErr w:type="spellEnd"/>
      <w:r w:rsidRPr="004130BD">
        <w:rPr>
          <w:rFonts w:ascii="Cambria" w:hAnsi="Cambria"/>
          <w:color w:val="000000" w:themeColor="text1"/>
        </w:rPr>
        <w:t xml:space="preserve"> (2018). </w:t>
      </w:r>
    </w:p>
    <w:p w14:paraId="0E8EC1F3" w14:textId="77777777" w:rsidR="004130BD" w:rsidRPr="004130BD" w:rsidRDefault="004130BD" w:rsidP="006A5D32">
      <w:pPr>
        <w:pStyle w:val="NormalWeb"/>
        <w:jc w:val="both"/>
        <w:rPr>
          <w:rFonts w:ascii="Cambria" w:hAnsi="Cambria"/>
          <w:color w:val="000000" w:themeColor="text1"/>
        </w:rPr>
      </w:pPr>
      <w:r w:rsidRPr="004130BD">
        <w:rPr>
          <w:rFonts w:ascii="Cambria" w:hAnsi="Cambria"/>
          <w:color w:val="000000" w:themeColor="text1"/>
        </w:rPr>
        <w:t>Our main empirical analysis builds on the recent work of Mishra, Montiel &amp; Sengupta (2016), who identify monetary policy shocks in India in a SVAR setting.</w:t>
      </w:r>
      <w:r w:rsidRPr="004130BD">
        <w:rPr>
          <w:rFonts w:ascii="Cambria" w:hAnsi="Cambria"/>
          <w:color w:val="000000" w:themeColor="text1"/>
          <w:vertAlign w:val="superscript"/>
        </w:rPr>
        <w:footnoteReference w:id="2"/>
      </w:r>
      <w:r w:rsidRPr="004130BD">
        <w:rPr>
          <w:rFonts w:ascii="Cambria" w:hAnsi="Cambria"/>
          <w:color w:val="000000" w:themeColor="text1"/>
        </w:rPr>
        <w:t xml:space="preserve">  Specifically, we use the index of industrial production as a proxy for output and the consumer price index to measure inflation.  In addition to these macro variables we consider a variety of financial market variables.  For our measure of interest rates, we use the ten-year Indian government bond rate.  While there are a variety of short-term rates that could have better helped assess the response of the Reserve Bank of India to foreign shocks, we found data availability and non-variation over time to be an issue for several of these measures. Our qualitative results do not change if short-term repo rate is used instead of ten-year government bond rate. Moreover, since we want to focus on aggregate economic effect of foreign shocks, we concluded that a longer interest rate was the appropriate choice.  We use the nominal exchange rate of Indian rupee with US dollar as our baseline measure of exchange rates. We found that using real and nominal effective exchange rates, that are constructed with a broader set of countries, gave similar results. Finally, we also include an indicator for the aggregate stock market index and total foreign reserves (excluding gold) measured in US </w:t>
      </w:r>
      <w:r w:rsidRPr="004130BD">
        <w:rPr>
          <w:rFonts w:ascii="Cambria" w:hAnsi="Cambria"/>
          <w:color w:val="000000" w:themeColor="text1"/>
        </w:rPr>
        <w:lastRenderedPageBreak/>
        <w:t xml:space="preserve">dollars. We believe that the total foreign reserves and the ten-year government bond rate indirectly capture the policy stance of RBI, which uses various tools in its conduct of monetary policy.  </w:t>
      </w:r>
    </w:p>
    <w:p w14:paraId="2D798F0C" w14:textId="77777777" w:rsidR="004130BD" w:rsidRPr="004130BD" w:rsidRDefault="004130BD" w:rsidP="004130BD">
      <w:pPr>
        <w:jc w:val="both"/>
        <w:rPr>
          <w:rFonts w:ascii="Cambria" w:eastAsia="Times New Roman" w:hAnsi="Cambria" w:cs="Times New Roman"/>
          <w:color w:val="000000" w:themeColor="text1"/>
          <w:sz w:val="24"/>
          <w:szCs w:val="24"/>
        </w:rPr>
      </w:pPr>
      <w:r w:rsidRPr="004130BD">
        <w:rPr>
          <w:rFonts w:ascii="Cambria" w:eastAsia="Times New Roman" w:hAnsi="Cambria" w:cs="Times New Roman"/>
          <w:color w:val="000000" w:themeColor="text1"/>
          <w:sz w:val="24"/>
          <w:szCs w:val="24"/>
        </w:rPr>
        <w:t xml:space="preserve">Reassuringly, we find similar results using either the local projection or structural vector autoregression estimation strategy. Here are the key findings. US monetary, economic policy uncertainty and oil supply shocks have substantial disruptive effects on both economic activity and financial markets in India. But the geopolitical risk shock does not have a major discernible effect.  Overall, US monetary policy and economic policy uncertainty have effects similar to a domestic demand shock while the oil shock has effects similar to a supply shock.  From a stabilization policy perspective, this means that there is a tradeoff involved in responding to oil shocks but not US monetary or economic policy uncertainty shocks. </w:t>
      </w:r>
    </w:p>
    <w:p w14:paraId="2147B377" w14:textId="77777777" w:rsidR="004130BD" w:rsidRPr="004130BD" w:rsidRDefault="004130BD" w:rsidP="004130BD">
      <w:pPr>
        <w:jc w:val="both"/>
        <w:rPr>
          <w:rFonts w:ascii="Cambria" w:eastAsia="Times New Roman" w:hAnsi="Cambria" w:cs="Times New Roman"/>
          <w:color w:val="000000" w:themeColor="text1"/>
          <w:sz w:val="24"/>
          <w:szCs w:val="24"/>
        </w:rPr>
      </w:pPr>
      <w:r w:rsidRPr="004130BD">
        <w:rPr>
          <w:rFonts w:ascii="Cambria" w:eastAsia="Times New Roman" w:hAnsi="Cambria" w:cs="Times New Roman"/>
          <w:color w:val="000000" w:themeColor="text1"/>
          <w:sz w:val="24"/>
          <w:szCs w:val="24"/>
        </w:rPr>
        <w:t xml:space="preserve">For the monetary policy shock, our results corroborate </w:t>
      </w:r>
      <w:proofErr w:type="spellStart"/>
      <w:r w:rsidRPr="004130BD">
        <w:rPr>
          <w:rFonts w:ascii="Cambria" w:eastAsia="Times New Roman" w:hAnsi="Cambria" w:cs="Times New Roman"/>
          <w:color w:val="000000" w:themeColor="text1"/>
          <w:sz w:val="24"/>
          <w:szCs w:val="24"/>
        </w:rPr>
        <w:t>Rajan</w:t>
      </w:r>
      <w:proofErr w:type="spellEnd"/>
      <w:r w:rsidRPr="004130BD">
        <w:rPr>
          <w:rFonts w:ascii="Cambria" w:eastAsia="Times New Roman" w:hAnsi="Cambria" w:cs="Times New Roman"/>
          <w:color w:val="000000" w:themeColor="text1"/>
          <w:sz w:val="24"/>
          <w:szCs w:val="24"/>
        </w:rPr>
        <w:t xml:space="preserve"> (2015)’s findings that US monetary policy indeed has important financial spillovers to the Indian economy. In response to a contractionary monetary policy shock to US policy rates, the Indian rupee depreciates, domestic stock market index and total foreign reserves held by the government decline. While financial market response is striking, the effect on inflation and output is relatively smaller. The real effects are consistent with the global spillovers of US monetary policy. The peak drop of India's monthly industrial production is -0.3%. To benchmark these effects, the peak drop in world industrial production is -0.4% and in BRICS industrial production is -0.3%.</w:t>
      </w:r>
    </w:p>
    <w:p w14:paraId="56BCB23F" w14:textId="77777777" w:rsidR="004130BD" w:rsidRPr="004130BD" w:rsidRDefault="004130BD" w:rsidP="004130BD">
      <w:pPr>
        <w:jc w:val="both"/>
        <w:rPr>
          <w:rFonts w:ascii="Cambria" w:eastAsia="Times New Roman" w:hAnsi="Cambria" w:cs="Times New Roman"/>
          <w:color w:val="000000" w:themeColor="text1"/>
          <w:sz w:val="24"/>
          <w:szCs w:val="24"/>
        </w:rPr>
      </w:pPr>
      <w:r w:rsidRPr="004130BD">
        <w:rPr>
          <w:rFonts w:ascii="Cambria" w:eastAsia="Times New Roman" w:hAnsi="Cambria" w:cs="Times New Roman"/>
          <w:color w:val="000000" w:themeColor="text1"/>
          <w:sz w:val="24"/>
          <w:szCs w:val="24"/>
        </w:rPr>
        <w:t>Second, surprise increases in policy uncertainty measured with global economic policy uncertainty index of Baker et al. (2016) negatively affects real activity as well as financial market indicators. Industrial production exhibits a persistent drop which peaks at -0.3% at 16 quarters and becomes statistically indistinguishable from zero subsequently.    Stock market index, government bond rate, and total reserves also decline significantly while rupee depreciates.</w:t>
      </w:r>
    </w:p>
    <w:p w14:paraId="200F08CF" w14:textId="77777777" w:rsidR="004130BD" w:rsidRPr="004130BD" w:rsidRDefault="004130BD" w:rsidP="004130BD">
      <w:pPr>
        <w:jc w:val="both"/>
        <w:rPr>
          <w:rFonts w:ascii="Cambria" w:eastAsia="Times New Roman" w:hAnsi="Cambria" w:cs="Times New Roman"/>
          <w:color w:val="000000" w:themeColor="text1"/>
          <w:sz w:val="24"/>
          <w:szCs w:val="24"/>
        </w:rPr>
      </w:pPr>
      <w:r w:rsidRPr="004130BD">
        <w:rPr>
          <w:rFonts w:ascii="Cambria" w:eastAsia="Times New Roman" w:hAnsi="Cambria" w:cs="Times New Roman"/>
          <w:color w:val="000000" w:themeColor="text1"/>
          <w:sz w:val="24"/>
          <w:szCs w:val="24"/>
        </w:rPr>
        <w:t>Third, geopolitical risk shocks lead to a delayed appreciation of the rupee, increase in total foreign reserves held by the government and expansion in stock market. The effect of this geopolitical risk shock is muted on prices and output.  One way to understand these results is a flight to safety story: when the global geopolitical risk goes up, Indian economy becomes an attractive destination.</w:t>
      </w:r>
    </w:p>
    <w:p w14:paraId="7BD1B294" w14:textId="77777777" w:rsidR="004130BD" w:rsidRPr="004130BD" w:rsidRDefault="004130BD" w:rsidP="004130BD">
      <w:pPr>
        <w:jc w:val="both"/>
        <w:rPr>
          <w:rFonts w:ascii="Cambria" w:eastAsia="Times New Roman" w:hAnsi="Cambria" w:cs="Times New Roman"/>
          <w:color w:val="000000" w:themeColor="text1"/>
          <w:sz w:val="24"/>
          <w:szCs w:val="24"/>
        </w:rPr>
      </w:pPr>
      <w:r w:rsidRPr="004130BD">
        <w:rPr>
          <w:rFonts w:ascii="Cambria" w:eastAsia="Times New Roman" w:hAnsi="Cambria" w:cs="Times New Roman"/>
          <w:color w:val="000000" w:themeColor="text1"/>
          <w:sz w:val="24"/>
          <w:szCs w:val="24"/>
        </w:rPr>
        <w:t>Finally, oil supply shocks act as textbook adverse supply shocks. After an adverse supply shock, there is a simultaneous drop in output and an increase in prices.  Moreover, the effect is persistent.  Relative to the BRICS benchmark we find that Indian output is more adversely affected by oil supply shocks.  The shock also causes a general worsening of financial conditions with a reduction in total reserves, depreciation of the rupee and a fall in stock prices.</w:t>
      </w:r>
    </w:p>
    <w:p w14:paraId="004F4402" w14:textId="77777777" w:rsidR="004130BD" w:rsidRP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 xml:space="preserve">Overall, the exposure of Indian output to these shocks is lower relative to an index of advanced economies but comparable to an index of BRICS economies.  To better understand </w:t>
      </w:r>
      <w:r w:rsidRPr="004130BD">
        <w:rPr>
          <w:rFonts w:ascii="Cambria" w:hAnsi="Cambria"/>
          <w:color w:val="000000" w:themeColor="text1"/>
          <w:sz w:val="24"/>
          <w:szCs w:val="24"/>
        </w:rPr>
        <w:lastRenderedPageBreak/>
        <w:t xml:space="preserve">how India performs among peer developing countries, we compare the response of Indian output individually to that of China, Russia, Brazil and South Africa.  We find that, with the exception of China, Indian economy reacts less to these foreign shocks relative to these counterpart countries. This suggests that in facing an adverse international shock, the Indian economy is more resilient than other developing countries.  But on the flip side, since the estimated model’s effects are symmetric, it implies that the Indian economy may also miss out from the positive effects of beneficial international shocks.  </w:t>
      </w:r>
    </w:p>
    <w:p w14:paraId="7BF0AB95" w14:textId="77777777" w:rsidR="004130BD" w:rsidRP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 xml:space="preserve">With the growing integration of India into the world economy, one might expect that the responsiveness of the Indian economy to international shocks has changed over time.  To test this, we estimate the impulse responses for India by splitting our sample into two halves (pre and post December 2005).  But for most of the variables (including output) we do not find statistically significant differences in the responses.  What explains this phenomenon? A comprehensive analysis of this question would investigate any structural changes in the Indian economy and the response of policymakers. While this exercise lies outside the scope of this paper, our results provide some suggestive evidence on the role that monetary policymakers might have played.    </w:t>
      </w:r>
    </w:p>
    <w:p w14:paraId="5AF36F6F" w14:textId="77777777" w:rsidR="004130BD" w:rsidRP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 xml:space="preserve">Central banks can respond to international shocks primarily by changing their policy interest rates or intervening in exchange rate markets, at least in terms of conventional policy tools.  A common pattern that also emerges in the analysis is the modest response of the 10-year government bond rate to these adverse global shocks. This has potentially important implications from a policy stabilization perspective.  For example, policymakers may consider easing of interest rates in response to adverse international shocks.  For the oil supply shock, the central bank faces a clear trade-off as output falls, but prices rise.  Thus, if the central bank is worried more about higher inflation then it may want to refrain from lowering rates and accept the downturn in economic activity.  But the US monetary policy and uncertainty shocks have effects that look like domestic demand shocks. In this case there is no longer a tradeoff and optimal monetary policy from conventional models dictates that the central bank lower rates.  </w:t>
      </w:r>
    </w:p>
    <w:p w14:paraId="4806EABD" w14:textId="77777777" w:rsidR="004130BD" w:rsidRP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 xml:space="preserve">In light of this, we think there are two different ways to interpret our results of relative non-responsiveness of the 10-year interest rate.  First it is possible that the Reserve Bank is not responding strongly with interest rate changes to the international shocks, either because they fail to identify the shocks in a timely manner or if they perceive the tradeoff as too costly. Alternatively, the Reserve Bank is indeed responding to these shocks by changing interest rates but that the transmission mechanism of monetary policy in India is weak and thus there are no substantial effects on the long rate.  </w:t>
      </w:r>
    </w:p>
    <w:p w14:paraId="4C682056" w14:textId="77777777" w:rsidR="004130BD" w:rsidRP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 xml:space="preserve">But the Reserve Bank of India has also intervened in the exchange rate market in response of international events.  Our results from the split-sample estimation show that in response to adverse monetary and oil shocks, the Indian rupee depreciates less in the more recent sample.  One potential factor could be the actions (or anticipated actions) of the Reserve Bank of India becoming stronger in the last decade or so.  Our results highlight that </w:t>
      </w:r>
      <w:r w:rsidRPr="004130BD">
        <w:rPr>
          <w:rFonts w:ascii="Cambria" w:hAnsi="Cambria"/>
          <w:color w:val="000000" w:themeColor="text1"/>
          <w:sz w:val="24"/>
          <w:szCs w:val="24"/>
        </w:rPr>
        <w:lastRenderedPageBreak/>
        <w:t xml:space="preserve">disentangling these different channels is important to understand the role of monetary policy in overall stabilization policy.  </w:t>
      </w:r>
    </w:p>
    <w:p w14:paraId="04EEDCD2" w14:textId="77777777" w:rsid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Finally, we consider what each shock implies about the contribution to the forecast error variance of the core Indian macro variables.  Overall, we find that the oil supply shock is the most important shock for explaining variations in industrial production.  Specifically, oil shocks appear to create the most disruption in output around a year or two after impact.  For inflation we find that the two uncertainty shocks and the oil supply shocks are important contributors to its variation.  For the US monetary policy shock, we find more modest effects on both financial market variables and output and prices.  Overall, when we sum up the contribution of the four main shocks that we consider, we find that just these four shocks can explain from 15% up to 35% of the variation in the Indian financial and macro variables at two to four-year horizons.  We discuss some caveats to this analysis and recommend viewing these numbers as un upper bound.</w:t>
      </w:r>
      <w:r>
        <w:rPr>
          <w:rFonts w:ascii="Cambria" w:hAnsi="Cambria"/>
          <w:color w:val="000000" w:themeColor="text1"/>
          <w:sz w:val="24"/>
          <w:szCs w:val="24"/>
        </w:rPr>
        <w:t xml:space="preserve">  </w:t>
      </w:r>
      <w:r w:rsidRPr="004130BD">
        <w:rPr>
          <w:rFonts w:ascii="Cambria" w:hAnsi="Cambria"/>
          <w:color w:val="000000" w:themeColor="text1"/>
          <w:sz w:val="24"/>
          <w:szCs w:val="24"/>
        </w:rPr>
        <w:t xml:space="preserve">Nevertheless, the overall picture that emerges is that these four shocks combined account for a significant source of international fluctuations that are important for the Indian economy. </w:t>
      </w:r>
    </w:p>
    <w:p w14:paraId="0579620B" w14:textId="43789B69" w:rsidR="004130BD" w:rsidRPr="004130BD" w:rsidRDefault="004130BD" w:rsidP="004130BD">
      <w:pPr>
        <w:jc w:val="both"/>
        <w:rPr>
          <w:rFonts w:ascii="Cambria" w:hAnsi="Cambria"/>
          <w:color w:val="000000" w:themeColor="text1"/>
          <w:sz w:val="24"/>
          <w:szCs w:val="24"/>
        </w:rPr>
      </w:pPr>
      <w:r w:rsidRPr="004130BD">
        <w:rPr>
          <w:rFonts w:ascii="Cambria" w:hAnsi="Cambria"/>
          <w:color w:val="000000" w:themeColor="text1"/>
          <w:sz w:val="24"/>
          <w:szCs w:val="24"/>
        </w:rPr>
        <w:t xml:space="preserve">Our objective is to bring a new set of facts to the macro-policy debate in India. Understanding the quantitative response of the Indian economy to past international shocks is an important first step in preparing the policy response to future shocks. Moreover, our hope is that the econometric tools we have used can then be readily applied by researchers in policy institutions to broaden our understanding of the Indian macro economy. Finally, the new facts that we document can guide economic modelers in building structural economic models relevant for the Indian economy. </w:t>
      </w:r>
    </w:p>
    <w:p w14:paraId="6DCBBF0A" w14:textId="3C6CD8A5" w:rsidR="00A00AD7" w:rsidRPr="00961753" w:rsidRDefault="00A00AD7" w:rsidP="0089589F">
      <w:pPr>
        <w:jc w:val="both"/>
        <w:rPr>
          <w:rFonts w:ascii="Cambria" w:hAnsi="Cambria"/>
          <w:sz w:val="24"/>
          <w:szCs w:val="24"/>
        </w:rPr>
      </w:pPr>
    </w:p>
    <w:p w14:paraId="36C00F14" w14:textId="09BBA197" w:rsidR="00A00AD7" w:rsidRPr="00961753" w:rsidRDefault="00822D53" w:rsidP="00E02A38">
      <w:pPr>
        <w:jc w:val="both"/>
        <w:rPr>
          <w:rFonts w:ascii="Cambria" w:hAnsi="Cambria"/>
          <w:b/>
          <w:bCs/>
          <w:sz w:val="28"/>
          <w:szCs w:val="28"/>
        </w:rPr>
      </w:pPr>
      <w:r>
        <w:rPr>
          <w:rFonts w:ascii="Cambria" w:hAnsi="Cambria"/>
          <w:b/>
          <w:bCs/>
          <w:sz w:val="28"/>
          <w:szCs w:val="28"/>
        </w:rPr>
        <w:t xml:space="preserve">2. </w:t>
      </w:r>
      <w:r w:rsidR="00A00AD7" w:rsidRPr="00961753">
        <w:rPr>
          <w:rFonts w:ascii="Cambria" w:hAnsi="Cambria"/>
          <w:b/>
          <w:bCs/>
          <w:sz w:val="28"/>
          <w:szCs w:val="28"/>
        </w:rPr>
        <w:t>Methodology</w:t>
      </w:r>
    </w:p>
    <w:p w14:paraId="19E7ADE1" w14:textId="77777777" w:rsidR="00A00AD7" w:rsidRPr="00822D53" w:rsidRDefault="00A00AD7" w:rsidP="00E02A38">
      <w:pPr>
        <w:jc w:val="both"/>
        <w:rPr>
          <w:rFonts w:ascii="Cambria" w:hAnsi="Cambria"/>
          <w:color w:val="000000" w:themeColor="text1"/>
          <w:sz w:val="24"/>
          <w:szCs w:val="24"/>
        </w:rPr>
      </w:pPr>
      <w:r w:rsidRPr="00822D53">
        <w:rPr>
          <w:rFonts w:ascii="Cambria" w:hAnsi="Cambria"/>
          <w:color w:val="000000" w:themeColor="text1"/>
          <w:sz w:val="24"/>
          <w:szCs w:val="24"/>
        </w:rPr>
        <w:t>To estimate dynamic causal effects, we will consider a structural framework that relies on both the local projections (LP) framework and vector autoregression framework (SVAR).  For both these approaches we will either directly incorporate exogenous measures of shocks or use the instrumental variables framework.</w:t>
      </w:r>
    </w:p>
    <w:p w14:paraId="680653A6" w14:textId="77777777" w:rsidR="00A00AD7" w:rsidRPr="00822D53" w:rsidRDefault="00A00AD7" w:rsidP="00E02A38">
      <w:pPr>
        <w:jc w:val="both"/>
        <w:rPr>
          <w:rFonts w:ascii="Cambria" w:hAnsi="Cambria"/>
          <w:color w:val="000000" w:themeColor="text1"/>
          <w:sz w:val="24"/>
          <w:szCs w:val="24"/>
        </w:rPr>
      </w:pPr>
    </w:p>
    <w:p w14:paraId="5CE33273" w14:textId="529234EB" w:rsidR="00A00AD7" w:rsidRPr="00822D53" w:rsidRDefault="00A00AD7" w:rsidP="00E02A38">
      <w:pPr>
        <w:jc w:val="both"/>
        <w:rPr>
          <w:rFonts w:ascii="Cambria" w:eastAsiaTheme="minorEastAsia" w:hAnsi="Cambria"/>
          <w:color w:val="000000" w:themeColor="text1"/>
          <w:sz w:val="24"/>
          <w:szCs w:val="24"/>
        </w:rPr>
      </w:pPr>
      <w:r w:rsidRPr="00822D53">
        <w:rPr>
          <w:rFonts w:ascii="Cambria" w:hAnsi="Cambria"/>
          <w:color w:val="000000" w:themeColor="text1"/>
          <w:sz w:val="24"/>
          <w:szCs w:val="24"/>
        </w:rPr>
        <w:t xml:space="preserve">The first strategy is to use a structural vector autoregression framework.  Consider the structural VAR where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y</m:t>
            </m:r>
          </m:e>
          <m:sub>
            <m:r>
              <m:rPr>
                <m:sty m:val="p"/>
              </m:rPr>
              <w:rPr>
                <w:rFonts w:ascii="Cambria Math" w:hAnsi="Cambria Math"/>
                <w:color w:val="000000" w:themeColor="text1"/>
                <w:sz w:val="24"/>
                <w:szCs w:val="24"/>
              </w:rPr>
              <m:t>t</m:t>
            </m:r>
          </m:sub>
        </m:sSub>
      </m:oMath>
      <w:r w:rsidRPr="00822D53">
        <w:rPr>
          <w:rFonts w:ascii="Cambria" w:hAnsi="Cambria"/>
          <w:color w:val="000000" w:themeColor="text1"/>
          <w:sz w:val="24"/>
          <w:szCs w:val="24"/>
        </w:rPr>
        <w:t xml:space="preserve"> is an </w:t>
      </w:r>
      <m:oMath>
        <m:r>
          <m:rPr>
            <m:sty m:val="p"/>
          </m:rPr>
          <w:rPr>
            <w:rFonts w:ascii="Cambria Math" w:hAnsi="Cambria Math"/>
            <w:color w:val="000000" w:themeColor="text1"/>
            <w:sz w:val="24"/>
            <w:szCs w:val="24"/>
          </w:rPr>
          <m:t>n ×1</m:t>
        </m:r>
      </m:oMath>
      <w:r w:rsidRPr="00822D53">
        <w:rPr>
          <w:rFonts w:ascii="Cambria" w:hAnsi="Cambria"/>
          <w:color w:val="000000" w:themeColor="text1"/>
          <w:sz w:val="24"/>
          <w:szCs w:val="24"/>
        </w:rPr>
        <w:t xml:space="preserve"> vector of macroeconomic variables and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α</m:t>
            </m:r>
          </m:e>
          <m:sub>
            <m:r>
              <m:rPr>
                <m:sty m:val="p"/>
              </m:rPr>
              <w:rPr>
                <w:rFonts w:ascii="Cambria Math" w:hAnsi="Cambria Math"/>
                <w:color w:val="000000" w:themeColor="text1"/>
                <w:sz w:val="24"/>
                <w:szCs w:val="24"/>
              </w:rPr>
              <m:t>i</m:t>
            </m:r>
          </m:sub>
        </m:sSub>
      </m:oMath>
      <w:r w:rsidR="00D321E3" w:rsidRPr="00822D53">
        <w:rPr>
          <w:rFonts w:ascii="Cambria" w:eastAsiaTheme="minorEastAsia" w:hAnsi="Cambria"/>
          <w:color w:val="000000" w:themeColor="text1"/>
          <w:sz w:val="24"/>
          <w:szCs w:val="24"/>
        </w:rPr>
        <w:t xml:space="preserve"> </w:t>
      </w:r>
      <w:r w:rsidRPr="00822D53">
        <w:rPr>
          <w:rFonts w:ascii="Cambria" w:hAnsi="Cambria"/>
          <w:color w:val="000000" w:themeColor="text1"/>
          <w:sz w:val="24"/>
          <w:szCs w:val="24"/>
        </w:rPr>
        <w:t xml:space="preserve">and </w:t>
      </w:r>
      <m:oMath>
        <m:r>
          <m:rPr>
            <m:sty m:val="p"/>
          </m:rPr>
          <w:rPr>
            <w:rFonts w:ascii="Cambria Math" w:hAnsi="Cambria Math"/>
            <w:color w:val="000000" w:themeColor="text1"/>
            <w:sz w:val="24"/>
            <w:szCs w:val="24"/>
          </w:rPr>
          <m:t>A</m:t>
        </m:r>
      </m:oMath>
      <w:r w:rsidR="007F5C69" w:rsidRPr="00822D53">
        <w:rPr>
          <w:rFonts w:ascii="Cambria" w:hAnsi="Cambria"/>
          <w:color w:val="000000" w:themeColor="text1"/>
          <w:sz w:val="24"/>
          <w:szCs w:val="24"/>
        </w:rPr>
        <w:t xml:space="preserve"> </w:t>
      </w:r>
      <w:r w:rsidR="00D321E3" w:rsidRPr="00822D53">
        <w:rPr>
          <w:rFonts w:ascii="Cambria" w:eastAsiaTheme="minorEastAsia" w:hAnsi="Cambria"/>
          <w:color w:val="000000" w:themeColor="text1"/>
          <w:sz w:val="24"/>
          <w:szCs w:val="24"/>
        </w:rPr>
        <w:t xml:space="preserve"> </w:t>
      </w:r>
      <w:r w:rsidRPr="00822D53">
        <w:rPr>
          <w:rFonts w:ascii="Cambria" w:hAnsi="Cambria"/>
          <w:color w:val="000000" w:themeColor="text1"/>
          <w:sz w:val="24"/>
          <w:szCs w:val="24"/>
        </w:rPr>
        <w:t xml:space="preserve">are </w:t>
      </w:r>
      <m:oMath>
        <m:r>
          <m:rPr>
            <m:sty m:val="p"/>
          </m:rPr>
          <w:rPr>
            <w:rFonts w:ascii="Cambria Math" w:hAnsi="Cambria Math"/>
            <w:color w:val="000000" w:themeColor="text1"/>
            <w:sz w:val="24"/>
            <w:szCs w:val="24"/>
          </w:rPr>
          <m:t>n ×n</m:t>
        </m:r>
      </m:oMath>
      <w:r w:rsidR="0041747E" w:rsidRPr="00822D53">
        <w:rPr>
          <w:rFonts w:ascii="Cambria" w:hAnsi="Cambria"/>
          <w:color w:val="000000" w:themeColor="text1"/>
          <w:sz w:val="24"/>
          <w:szCs w:val="24"/>
        </w:rPr>
        <w:t xml:space="preserve"> </w:t>
      </w:r>
      <w:r w:rsidRPr="00822D53">
        <w:rPr>
          <w:rFonts w:ascii="Cambria" w:hAnsi="Cambria"/>
          <w:color w:val="000000" w:themeColor="text1"/>
          <w:sz w:val="24"/>
          <w:szCs w:val="24"/>
        </w:rPr>
        <w:t xml:space="preserve"> parameter matrices</w:t>
      </w:r>
    </w:p>
    <w:p w14:paraId="74B7CE02" w14:textId="74718970" w:rsidR="00B314CE" w:rsidRPr="00822D53" w:rsidRDefault="00822D53" w:rsidP="00E02A38">
      <w:pPr>
        <w:jc w:val="both"/>
        <w:rPr>
          <w:rFonts w:ascii="Cambria" w:eastAsiaTheme="minorEastAsia" w:hAnsi="Cambria"/>
          <w:color w:val="000000" w:themeColor="text1"/>
          <w:sz w:val="24"/>
          <w:szCs w:val="24"/>
        </w:rPr>
      </w:pPr>
      <m:oMathPara>
        <m:oMath>
          <m:r>
            <m:rPr>
              <m:sty m:val="p"/>
            </m:rPr>
            <w:rPr>
              <w:rFonts w:ascii="Cambria Math" w:hAnsi="Cambria Math"/>
              <w:color w:val="000000" w:themeColor="text1"/>
              <w:sz w:val="24"/>
              <w:szCs w:val="24"/>
            </w:rPr>
            <m:t>A</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y</m:t>
              </m:r>
            </m:e>
            <m:sub>
              <m:r>
                <m:rPr>
                  <m:sty m:val="p"/>
                </m:rPr>
                <w:rPr>
                  <w:rFonts w:ascii="Cambria Math" w:hAnsi="Cambria Math"/>
                  <w:color w:val="000000" w:themeColor="text1"/>
                  <w:sz w:val="24"/>
                  <w:szCs w:val="24"/>
                </w:rPr>
                <m:t>t</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α</m:t>
              </m:r>
            </m:e>
            <m:sub>
              <m:r>
                <m:rPr>
                  <m:sty m:val="p"/>
                </m:rPr>
                <w:rPr>
                  <w:rFonts w:ascii="Cambria Math" w:hAnsi="Cambria Math"/>
                  <w:color w:val="000000" w:themeColor="text1"/>
                  <w:sz w:val="24"/>
                  <w:szCs w:val="24"/>
                </w:rPr>
                <m:t>1</m:t>
              </m:r>
            </m:sub>
          </m:sSub>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y</m:t>
              </m:r>
            </m:e>
            <m:sub>
              <m:r>
                <m:rPr>
                  <m:sty m:val="p"/>
                </m:rPr>
                <w:rPr>
                  <w:rFonts w:ascii="Cambria Math" w:hAnsi="Cambria Math"/>
                  <w:color w:val="000000" w:themeColor="text1"/>
                  <w:sz w:val="24"/>
                  <w:szCs w:val="24"/>
                </w:rPr>
                <m:t>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α</m:t>
              </m:r>
            </m:e>
            <m:sub>
              <m:r>
                <m:rPr>
                  <m:sty m:val="p"/>
                </m:rPr>
                <w:rPr>
                  <w:rFonts w:ascii="Cambria Math" w:hAnsi="Cambria Math"/>
                  <w:color w:val="000000" w:themeColor="text1"/>
                  <w:sz w:val="24"/>
                  <w:szCs w:val="24"/>
                </w:rPr>
                <m:t>p</m:t>
              </m:r>
            </m:sub>
          </m:sSub>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y</m:t>
              </m:r>
            </m:e>
            <m:sub>
              <m:r>
                <m:rPr>
                  <m:sty m:val="p"/>
                </m:rPr>
                <w:rPr>
                  <w:rFonts w:ascii="Cambria Math" w:hAnsi="Cambria Math"/>
                  <w:color w:val="000000" w:themeColor="text1"/>
                  <w:sz w:val="24"/>
                  <w:szCs w:val="24"/>
                </w:rPr>
                <m:t>t-p</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t</m:t>
              </m:r>
            </m:sub>
          </m:sSub>
        </m:oMath>
      </m:oMathPara>
    </w:p>
    <w:p w14:paraId="1505C314" w14:textId="18CD21B1" w:rsidR="00B314CE" w:rsidRPr="00822D53" w:rsidRDefault="00B314CE" w:rsidP="00E02A38">
      <w:pPr>
        <w:jc w:val="both"/>
        <w:rPr>
          <w:rFonts w:ascii="Cambria" w:eastAsiaTheme="minorEastAsia" w:hAnsi="Cambria"/>
          <w:color w:val="000000" w:themeColor="text1"/>
          <w:sz w:val="24"/>
          <w:szCs w:val="24"/>
        </w:rPr>
      </w:pPr>
      <w:r w:rsidRPr="00822D53">
        <w:rPr>
          <w:rFonts w:ascii="Cambria" w:hAnsi="Cambria"/>
          <w:color w:val="000000" w:themeColor="text1"/>
          <w:sz w:val="24"/>
          <w:szCs w:val="24"/>
        </w:rPr>
        <w:t xml:space="preserve">The components of the error terms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t</m:t>
            </m:r>
          </m:sub>
        </m:sSub>
      </m:oMath>
      <w:r w:rsidR="00BA038F" w:rsidRPr="00822D53">
        <w:rPr>
          <w:rFonts w:ascii="Cambria" w:hAnsi="Cambria"/>
          <w:color w:val="000000" w:themeColor="text1"/>
          <w:sz w:val="24"/>
          <w:szCs w:val="24"/>
        </w:rPr>
        <w:t xml:space="preserve"> </w:t>
      </w:r>
      <w:r w:rsidRPr="00822D53">
        <w:rPr>
          <w:rFonts w:ascii="Cambria" w:hAnsi="Cambria"/>
          <w:color w:val="000000" w:themeColor="text1"/>
          <w:sz w:val="24"/>
          <w:szCs w:val="24"/>
        </w:rPr>
        <w:t xml:space="preserve">are assumed to be uncorrelated with each other and interpreted as structural shocks.  Pre-multiply by </w:t>
      </w:r>
      <m:oMath>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A</m:t>
            </m:r>
          </m:e>
          <m:sup>
            <m:r>
              <m:rPr>
                <m:sty m:val="p"/>
              </m:rPr>
              <w:rPr>
                <w:rFonts w:ascii="Cambria Math" w:hAnsi="Cambria Math"/>
                <w:color w:val="000000" w:themeColor="text1"/>
                <w:sz w:val="24"/>
                <w:szCs w:val="24"/>
              </w:rPr>
              <m:t>-1</m:t>
            </m:r>
          </m:sup>
        </m:sSup>
      </m:oMath>
      <w:r w:rsidR="00BA038F" w:rsidRPr="00822D53">
        <w:rPr>
          <w:rFonts w:ascii="Cambria" w:hAnsi="Cambria"/>
          <w:color w:val="000000" w:themeColor="text1"/>
          <w:sz w:val="24"/>
          <w:szCs w:val="24"/>
        </w:rPr>
        <w:t xml:space="preserve"> </w:t>
      </w:r>
      <w:r w:rsidRPr="00822D53">
        <w:rPr>
          <w:rFonts w:ascii="Cambria" w:hAnsi="Cambria"/>
          <w:color w:val="000000" w:themeColor="text1"/>
          <w:sz w:val="24"/>
          <w:szCs w:val="24"/>
        </w:rPr>
        <w:t>to get the reduced form VAR</w:t>
      </w:r>
      <m:oMath>
        <m:r>
          <m:rPr>
            <m:nor/>
          </m:rPr>
          <w:rPr>
            <w:rFonts w:ascii="Cambria" w:eastAsiaTheme="minorEastAsia" w:hAnsi="Cambria"/>
            <w:color w:val="000000" w:themeColor="text1"/>
            <w:sz w:val="24"/>
            <w:szCs w:val="24"/>
          </w:rPr>
          <m:t xml:space="preserve"> </m:t>
        </m:r>
      </m:oMath>
    </w:p>
    <w:p w14:paraId="7418ED33" w14:textId="12EEDC25" w:rsidR="00B314CE" w:rsidRPr="00822D53" w:rsidRDefault="00B314CE" w:rsidP="00E02A38">
      <w:pPr>
        <w:jc w:val="both"/>
        <w:rPr>
          <w:rFonts w:ascii="Cambria" w:eastAsiaTheme="minorEastAsia" w:hAnsi="Cambria"/>
          <w:color w:val="000000" w:themeColor="text1"/>
          <w:sz w:val="24"/>
          <w:szCs w:val="24"/>
        </w:rPr>
      </w:pPr>
      <w:r w:rsidRPr="00822D53">
        <w:rPr>
          <w:rFonts w:ascii="Cambria" w:eastAsiaTheme="minorEastAsia" w:hAnsi="Cambria"/>
          <w:color w:val="000000" w:themeColor="text1"/>
          <w:sz w:val="24"/>
          <w:szCs w:val="24"/>
        </w:rPr>
        <w:tab/>
      </w:r>
      <w:r w:rsidRPr="00822D53">
        <w:rPr>
          <w:rFonts w:ascii="Cambria" w:eastAsiaTheme="minorEastAsia" w:hAnsi="Cambria"/>
          <w:color w:val="000000" w:themeColor="text1"/>
          <w:sz w:val="24"/>
          <w:szCs w:val="24"/>
        </w:rPr>
        <w:tab/>
      </w:r>
      <w:r w:rsidRPr="00822D53">
        <w:rPr>
          <w:rFonts w:ascii="Cambria" w:eastAsiaTheme="minorEastAsia" w:hAnsi="Cambria"/>
          <w:color w:val="000000" w:themeColor="text1"/>
          <w:sz w:val="24"/>
          <w:szCs w:val="24"/>
        </w:rPr>
        <w:tab/>
      </w:r>
      <w:r w:rsidRPr="00822D53">
        <w:rPr>
          <w:rFonts w:ascii="Cambria" w:eastAsiaTheme="minorEastAsia" w:hAnsi="Cambria"/>
          <w:color w:val="000000" w:themeColor="text1"/>
          <w:sz w:val="24"/>
          <w:szCs w:val="24"/>
        </w:rPr>
        <w:tab/>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y</m:t>
            </m:r>
          </m:e>
          <m:sub>
            <m:r>
              <m:rPr>
                <m:sty m:val="p"/>
              </m:rPr>
              <w:rPr>
                <w:rFonts w:ascii="Cambria Math" w:eastAsiaTheme="minorEastAsia" w:hAnsi="Cambria Math"/>
                <w:color w:val="000000" w:themeColor="text1"/>
                <w:sz w:val="24"/>
                <w:szCs w:val="24"/>
              </w:rPr>
              <m:t>t</m:t>
            </m:r>
          </m:sub>
        </m:sSub>
        <m:r>
          <m:rPr>
            <m:sty m:val="p"/>
          </m:rPr>
          <w:rPr>
            <w:rFonts w:ascii="Cambria Math" w:eastAsiaTheme="minorEastAsia" w:hAnsi="Cambria Math"/>
            <w:color w:val="000000" w:themeColor="text1"/>
            <w:sz w:val="24"/>
            <w:szCs w:val="24"/>
          </w:rPr>
          <m:t>=</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δ</m:t>
            </m:r>
          </m:e>
          <m:sub>
            <m:r>
              <m:rPr>
                <m:sty m:val="p"/>
              </m:rPr>
              <w:rPr>
                <w:rFonts w:ascii="Cambria Math" w:eastAsiaTheme="minorEastAsia" w:hAnsi="Cambria Math"/>
                <w:color w:val="000000" w:themeColor="text1"/>
                <w:sz w:val="24"/>
                <w:szCs w:val="24"/>
              </w:rPr>
              <m:t>1</m:t>
            </m:r>
          </m:sub>
        </m:sSub>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y</m:t>
            </m:r>
          </m:e>
          <m:sub>
            <m:r>
              <m:rPr>
                <m:sty m:val="p"/>
              </m:rPr>
              <w:rPr>
                <w:rFonts w:ascii="Cambria Math" w:eastAsiaTheme="minorEastAsia" w:hAnsi="Cambria Math"/>
                <w:color w:val="000000" w:themeColor="text1"/>
                <w:sz w:val="24"/>
                <w:szCs w:val="24"/>
              </w:rPr>
              <m:t>t-1</m:t>
            </m:r>
          </m:sub>
        </m:sSub>
        <m:r>
          <m:rPr>
            <m:sty m:val="p"/>
          </m:rPr>
          <w:rPr>
            <w:rFonts w:ascii="Cambria Math" w:eastAsiaTheme="minorEastAsia" w:hAnsi="Cambria Math"/>
            <w:color w:val="000000" w:themeColor="text1"/>
            <w:sz w:val="24"/>
            <w:szCs w:val="24"/>
          </w:rPr>
          <m:t>+</m:t>
        </m:r>
        <m:r>
          <m:rPr>
            <m:nor/>
          </m:rPr>
          <w:rPr>
            <w:rFonts w:ascii="Cambria" w:eastAsiaTheme="minorEastAsia" w:hAnsi="Cambria"/>
            <w:color w:val="000000" w:themeColor="text1"/>
            <w:sz w:val="24"/>
            <w:szCs w:val="24"/>
          </w:rPr>
          <m:t>…</m:t>
        </m:r>
        <m:r>
          <m:rPr>
            <m:sty m:val="p"/>
          </m:rPr>
          <w:rPr>
            <w:rFonts w:ascii="Cambria Math" w:eastAsiaTheme="minorEastAsia" w:hAnsi="Cambria Math"/>
            <w:color w:val="000000" w:themeColor="text1"/>
            <w:sz w:val="24"/>
            <w:szCs w:val="24"/>
          </w:rPr>
          <m:t>+</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δ</m:t>
            </m:r>
          </m:e>
          <m:sub>
            <m:r>
              <m:rPr>
                <m:sty m:val="p"/>
              </m:rPr>
              <w:rPr>
                <w:rFonts w:ascii="Cambria Math" w:eastAsiaTheme="minorEastAsia" w:hAnsi="Cambria Math"/>
                <w:color w:val="000000" w:themeColor="text1"/>
                <w:sz w:val="24"/>
                <w:szCs w:val="24"/>
              </w:rPr>
              <m:t>p</m:t>
            </m:r>
          </m:sub>
        </m:sSub>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y</m:t>
            </m:r>
          </m:e>
          <m:sub>
            <m:r>
              <m:rPr>
                <m:sty m:val="p"/>
              </m:rPr>
              <w:rPr>
                <w:rFonts w:ascii="Cambria Math" w:eastAsiaTheme="minorEastAsia" w:hAnsi="Cambria Math"/>
                <w:color w:val="000000" w:themeColor="text1"/>
                <w:sz w:val="24"/>
                <w:szCs w:val="24"/>
              </w:rPr>
              <m:t>t-p</m:t>
            </m:r>
          </m:sub>
        </m:sSub>
        <m:r>
          <m:rPr>
            <m:sty m:val="p"/>
          </m:rPr>
          <w:rPr>
            <w:rFonts w:ascii="Cambria Math" w:eastAsiaTheme="minorEastAsia" w:hAnsi="Cambria Math"/>
            <w:color w:val="000000" w:themeColor="text1"/>
            <w:sz w:val="24"/>
            <w:szCs w:val="24"/>
          </w:rPr>
          <m:t>+</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u</m:t>
            </m:r>
          </m:e>
          <m:sub>
            <m:r>
              <m:rPr>
                <m:sty m:val="p"/>
              </m:rPr>
              <w:rPr>
                <w:rFonts w:ascii="Cambria Math" w:eastAsiaTheme="minorEastAsia" w:hAnsi="Cambria Math"/>
                <w:color w:val="000000" w:themeColor="text1"/>
                <w:sz w:val="24"/>
                <w:szCs w:val="24"/>
              </w:rPr>
              <m:t>t</m:t>
            </m:r>
          </m:sub>
        </m:sSub>
      </m:oMath>
      <w:r w:rsidRPr="00822D53">
        <w:rPr>
          <w:rFonts w:ascii="Cambria" w:eastAsiaTheme="minorEastAsia" w:hAnsi="Cambria"/>
          <w:color w:val="000000" w:themeColor="text1"/>
          <w:sz w:val="24"/>
          <w:szCs w:val="24"/>
        </w:rPr>
        <w:tab/>
      </w:r>
      <w:r w:rsidRPr="00822D53">
        <w:rPr>
          <w:rFonts w:ascii="Cambria" w:eastAsiaTheme="minorEastAsia" w:hAnsi="Cambria"/>
          <w:color w:val="000000" w:themeColor="text1"/>
          <w:sz w:val="24"/>
          <w:szCs w:val="24"/>
        </w:rPr>
        <w:tab/>
      </w:r>
    </w:p>
    <w:p w14:paraId="6E7F55A1" w14:textId="1A0CAF22" w:rsidR="00B314CE" w:rsidRPr="00822D53" w:rsidRDefault="00B314CE" w:rsidP="00E02A38">
      <w:pPr>
        <w:jc w:val="both"/>
        <w:rPr>
          <w:rFonts w:ascii="Cambria" w:eastAsiaTheme="minorEastAsia" w:hAnsi="Cambria"/>
          <w:color w:val="000000" w:themeColor="text1"/>
          <w:sz w:val="24"/>
          <w:szCs w:val="24"/>
        </w:rPr>
      </w:pPr>
      <w:r w:rsidRPr="00822D53">
        <w:rPr>
          <w:rFonts w:ascii="Cambria" w:hAnsi="Cambria"/>
          <w:color w:val="000000" w:themeColor="text1"/>
          <w:sz w:val="24"/>
          <w:szCs w:val="24"/>
        </w:rPr>
        <w:lastRenderedPageBreak/>
        <w:t>where</w:t>
      </w:r>
    </w:p>
    <w:p w14:paraId="27EB22D0" w14:textId="307C87A6" w:rsidR="00B314CE" w:rsidRPr="00822D53" w:rsidRDefault="00457654" w:rsidP="00E02A38">
      <w:pPr>
        <w:jc w:val="both"/>
        <w:rPr>
          <w:rFonts w:ascii="Cambria" w:hAnsi="Cambr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u</m:t>
              </m:r>
            </m:e>
            <m:sub>
              <m:r>
                <m:rPr>
                  <m:sty m:val="p"/>
                </m:rPr>
                <w:rPr>
                  <w:rFonts w:ascii="Cambria Math" w:hAnsi="Cambria Math"/>
                  <w:color w:val="000000" w:themeColor="text1"/>
                  <w:sz w:val="24"/>
                  <w:szCs w:val="24"/>
                </w:rPr>
                <m:t>t</m:t>
              </m:r>
            </m:sub>
          </m:sSub>
          <m:r>
            <m:rPr>
              <m:sty m:val="p"/>
            </m:rPr>
            <w:rPr>
              <w:rFonts w:ascii="Cambria Math" w:hAnsi="Cambria Math"/>
              <w:color w:val="000000" w:themeColor="text1"/>
              <w:sz w:val="24"/>
              <w:szCs w:val="24"/>
            </w:rPr>
            <m:t>=B</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ε</m:t>
              </m:r>
            </m:e>
            <m:sub>
              <m:r>
                <m:rPr>
                  <m:sty m:val="p"/>
                </m:rPr>
                <w:rPr>
                  <w:rFonts w:ascii="Cambria Math" w:hAnsi="Cambria Math"/>
                  <w:color w:val="000000" w:themeColor="text1"/>
                  <w:sz w:val="24"/>
                  <w:szCs w:val="24"/>
                </w:rPr>
                <m:t>t</m:t>
              </m:r>
            </m:sub>
          </m:sSub>
        </m:oMath>
      </m:oMathPara>
    </w:p>
    <w:p w14:paraId="02A34B8D" w14:textId="773D7E6B" w:rsidR="00B314CE" w:rsidRPr="00822D53" w:rsidRDefault="00B314CE" w:rsidP="00E02A38">
      <w:pPr>
        <w:pStyle w:val="NormalWeb"/>
        <w:jc w:val="both"/>
        <w:rPr>
          <w:rFonts w:ascii="Cambria" w:hAnsi="Cambria"/>
          <w:color w:val="000000" w:themeColor="text1"/>
        </w:rPr>
      </w:pPr>
      <w:r w:rsidRPr="00822D53">
        <w:rPr>
          <w:rFonts w:ascii="Cambria" w:hAnsi="Cambria"/>
          <w:color w:val="000000" w:themeColor="text1"/>
        </w:rPr>
        <w:t xml:space="preserve">and </w:t>
      </w:r>
      <m:oMath>
        <m:sSup>
          <m:sSupPr>
            <m:ctrlPr>
              <w:rPr>
                <w:rFonts w:ascii="Cambria Math" w:hAnsi="Cambria Math"/>
                <w:color w:val="000000" w:themeColor="text1"/>
              </w:rPr>
            </m:ctrlPr>
          </m:sSupPr>
          <m:e>
            <m:r>
              <m:rPr>
                <m:sty m:val="p"/>
              </m:rPr>
              <w:rPr>
                <w:rFonts w:ascii="Cambria Math" w:hAnsi="Cambria Math"/>
                <w:color w:val="000000" w:themeColor="text1"/>
              </w:rPr>
              <m:t>A</m:t>
            </m:r>
          </m:e>
          <m:sup>
            <m:r>
              <m:rPr>
                <m:sty m:val="p"/>
              </m:rPr>
              <w:rPr>
                <w:rFonts w:ascii="Cambria Math" w:hAnsi="Cambria Math"/>
                <w:color w:val="000000" w:themeColor="text1"/>
              </w:rPr>
              <m:t>-1</m:t>
            </m:r>
          </m:sup>
        </m:sSup>
        <m:r>
          <m:rPr>
            <m:sty m:val="p"/>
          </m:rPr>
          <w:rPr>
            <w:rFonts w:ascii="Cambria Math" w:eastAsiaTheme="minorEastAsia" w:hAnsi="Cambria Math"/>
            <w:color w:val="000000" w:themeColor="text1"/>
          </w:rPr>
          <m:t xml:space="preserve">=B. </m:t>
        </m:r>
      </m:oMath>
      <w:r w:rsidRPr="00822D53">
        <w:rPr>
          <w:rFonts w:ascii="Cambria" w:hAnsi="Cambria"/>
          <w:color w:val="000000" w:themeColor="text1"/>
        </w:rPr>
        <w:t xml:space="preserve">Also note that </w:t>
      </w:r>
      <m:oMath>
        <m:r>
          <m:rPr>
            <m:sty m:val="p"/>
          </m:rPr>
          <w:rPr>
            <w:rFonts w:ascii="Cambria Math" w:hAnsi="Cambria Math"/>
            <w:color w:val="000000" w:themeColor="text1"/>
          </w:rPr>
          <m:t>E</m:t>
        </m:r>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u</m:t>
                </m:r>
              </m:e>
              <m:sub>
                <m:r>
                  <m:rPr>
                    <m:sty m:val="p"/>
                  </m:rPr>
                  <w:rPr>
                    <w:rFonts w:ascii="Cambria Math" w:hAnsi="Cambria Math"/>
                    <w:color w:val="000000" w:themeColor="text1"/>
                  </w:rPr>
                  <m:t>t</m:t>
                </m:r>
              </m:sub>
            </m:sSub>
            <m:sSubSup>
              <m:sSubSupPr>
                <m:ctrlPr>
                  <w:rPr>
                    <w:rFonts w:ascii="Cambria Math" w:hAnsi="Cambria Math"/>
                    <w:color w:val="000000" w:themeColor="text1"/>
                  </w:rPr>
                </m:ctrlPr>
              </m:sSubSupPr>
              <m:e>
                <m:r>
                  <m:rPr>
                    <m:sty m:val="p"/>
                  </m:rPr>
                  <w:rPr>
                    <w:rFonts w:ascii="Cambria Math" w:hAnsi="Cambria Math"/>
                    <w:color w:val="000000" w:themeColor="text1"/>
                  </w:rPr>
                  <m:t>u</m:t>
                </m:r>
              </m:e>
              <m:sub>
                <m:r>
                  <m:rPr>
                    <m:sty m:val="p"/>
                  </m:rPr>
                  <w:rPr>
                    <w:rFonts w:ascii="Cambria Math" w:hAnsi="Cambria Math"/>
                    <w:color w:val="000000" w:themeColor="text1"/>
                  </w:rPr>
                  <m:t>t</m:t>
                </m:r>
              </m:sub>
              <m:sup>
                <m:r>
                  <m:rPr>
                    <m:sty m:val="p"/>
                  </m:rPr>
                  <w:rPr>
                    <w:rFonts w:ascii="Cambria Math" w:hAnsi="Cambria Math"/>
                    <w:color w:val="000000" w:themeColor="text1"/>
                  </w:rPr>
                  <m:t>'</m:t>
                </m:r>
              </m:sup>
            </m:sSubSup>
          </m:e>
        </m:d>
        <m:r>
          <m:rPr>
            <m:sty m:val="p"/>
          </m:rPr>
          <w:rPr>
            <w:rFonts w:ascii="Cambria Math" w:hAnsi="Cambria Math"/>
            <w:color w:val="000000" w:themeColor="text1"/>
          </w:rPr>
          <m:t>=B</m:t>
        </m:r>
        <m:sSup>
          <m:sSupPr>
            <m:ctrlPr>
              <w:rPr>
                <w:rFonts w:ascii="Cambria Math" w:hAnsi="Cambria Math"/>
                <w:color w:val="000000" w:themeColor="text1"/>
              </w:rPr>
            </m:ctrlPr>
          </m:sSupPr>
          <m:e>
            <m:r>
              <m:rPr>
                <m:sty m:val="p"/>
              </m:rPr>
              <w:rPr>
                <w:rFonts w:ascii="Cambria Math" w:hAnsi="Cambria Math"/>
                <w:color w:val="000000" w:themeColor="text1"/>
              </w:rPr>
              <m:t>B</m:t>
            </m:r>
          </m:e>
          <m:sup>
            <m:r>
              <m:rPr>
                <m:sty m:val="p"/>
              </m:rPr>
              <w:rPr>
                <w:rFonts w:ascii="Cambria Math" w:hAnsi="Cambria Math"/>
                <w:color w:val="000000" w:themeColor="text1"/>
              </w:rPr>
              <m:t>'</m:t>
            </m:r>
          </m:sup>
        </m:sSup>
        <m:r>
          <m:rPr>
            <m:sty m:val="p"/>
          </m:rPr>
          <w:rPr>
            <w:rFonts w:ascii="Cambria Math" w:hAnsi="Cambria Math"/>
            <w:color w:val="000000" w:themeColor="text1"/>
          </w:rPr>
          <m:t>=Σ</m:t>
        </m:r>
      </m:oMath>
      <w:r w:rsidR="0056741A" w:rsidRPr="00822D53">
        <w:rPr>
          <w:rFonts w:ascii="Cambria" w:hAnsi="Cambria"/>
          <w:color w:val="000000" w:themeColor="text1"/>
        </w:rPr>
        <w:t>.</w:t>
      </w:r>
      <w:r w:rsidRPr="00822D53">
        <w:rPr>
          <w:rFonts w:ascii="Cambria" w:hAnsi="Cambria"/>
          <w:color w:val="000000" w:themeColor="text1"/>
        </w:rPr>
        <w:t xml:space="preserve"> This reduced form VAR can be estimated in a straightforward manner.  </w:t>
      </w:r>
      <w:r w:rsidR="008B2A91" w:rsidRPr="00822D53">
        <w:rPr>
          <w:rFonts w:ascii="Cambria" w:hAnsi="Cambria"/>
          <w:color w:val="000000" w:themeColor="text1"/>
        </w:rPr>
        <w:t>However,</w:t>
      </w:r>
      <w:r w:rsidRPr="00822D53">
        <w:rPr>
          <w:rFonts w:ascii="Cambria" w:hAnsi="Cambria"/>
          <w:color w:val="000000" w:themeColor="text1"/>
        </w:rPr>
        <w:t xml:space="preserve"> identification of the impulse responses to the structural shocks requires an estimate of the matrix </w:t>
      </w:r>
      <m:oMath>
        <m:r>
          <m:rPr>
            <m:sty m:val="p"/>
          </m:rPr>
          <w:rPr>
            <w:rFonts w:ascii="Cambria Math" w:eastAsiaTheme="minorEastAsia" w:hAnsi="Cambria Math"/>
            <w:color w:val="000000" w:themeColor="text1"/>
          </w:rPr>
          <m:t>B=</m:t>
        </m:r>
        <m:sSup>
          <m:sSupPr>
            <m:ctrlPr>
              <w:rPr>
                <w:rFonts w:ascii="Cambria Math" w:hAnsi="Cambria Math"/>
                <w:color w:val="000000" w:themeColor="text1"/>
              </w:rPr>
            </m:ctrlPr>
          </m:sSupPr>
          <m:e>
            <m:r>
              <m:rPr>
                <m:sty m:val="p"/>
              </m:rPr>
              <w:rPr>
                <w:rFonts w:ascii="Cambria Math" w:hAnsi="Cambria Math"/>
                <w:color w:val="000000" w:themeColor="text1"/>
              </w:rPr>
              <m:t>A</m:t>
            </m:r>
          </m:e>
          <m:sup>
            <m:r>
              <m:rPr>
                <m:sty m:val="p"/>
              </m:rPr>
              <w:rPr>
                <w:rFonts w:ascii="Cambria Math" w:hAnsi="Cambria Math"/>
                <w:color w:val="000000" w:themeColor="text1"/>
              </w:rPr>
              <m:t>-1</m:t>
            </m:r>
          </m:sup>
        </m:sSup>
        <m:r>
          <m:rPr>
            <m:sty m:val="p"/>
          </m:rPr>
          <w:rPr>
            <w:rFonts w:ascii="Cambria Math" w:hAnsi="Cambria Math"/>
            <w:color w:val="000000" w:themeColor="text1"/>
          </w:rPr>
          <m:t>.</m:t>
        </m:r>
      </m:oMath>
      <w:r w:rsidR="00873040" w:rsidRPr="00822D53">
        <w:rPr>
          <w:rFonts w:ascii="Cambria" w:hAnsi="Cambria"/>
          <w:color w:val="000000" w:themeColor="text1"/>
        </w:rPr>
        <w:t xml:space="preserve"> </w:t>
      </w:r>
      <w:r w:rsidRPr="00822D53">
        <w:rPr>
          <w:rFonts w:ascii="Cambria" w:hAnsi="Cambria"/>
          <w:color w:val="000000" w:themeColor="text1"/>
        </w:rPr>
        <w:t xml:space="preserve">This requires further identifying restrictions.  If the structural shock of interest is directly observable then we will order it first in the vector </w:t>
      </w:r>
      <m:oMath>
        <m:sSub>
          <m:sSubPr>
            <m:ctrlPr>
              <w:rPr>
                <w:rFonts w:ascii="Cambria Math" w:hAnsi="Cambria Math"/>
                <w:color w:val="000000" w:themeColor="text1"/>
              </w:rPr>
            </m:ctrlPr>
          </m:sSubPr>
          <m:e>
            <m:r>
              <m:rPr>
                <m:sty m:val="p"/>
              </m:rPr>
              <w:rPr>
                <w:rFonts w:ascii="Cambria Math" w:hAnsi="Cambria Math"/>
                <w:color w:val="000000" w:themeColor="text1"/>
              </w:rPr>
              <m:t>y</m:t>
            </m:r>
          </m:e>
          <m:sub>
            <m:r>
              <m:rPr>
                <m:sty m:val="p"/>
              </m:rPr>
              <w:rPr>
                <w:rFonts w:ascii="Cambria Math" w:hAnsi="Cambria Math"/>
                <w:color w:val="000000" w:themeColor="text1"/>
              </w:rPr>
              <m:t>t</m:t>
            </m:r>
          </m:sub>
        </m:sSub>
      </m:oMath>
      <w:r w:rsidRPr="00822D53">
        <w:rPr>
          <w:rFonts w:ascii="Cambria" w:hAnsi="Cambria"/>
          <w:color w:val="000000" w:themeColor="text1"/>
        </w:rPr>
        <w:t xml:space="preserve"> and use a Cholesky ordering to identify the structural impulse responses.  If we do not directly observe the structural shock but have an instrument for it </w:t>
      </w:r>
      <w:r w:rsidR="00FD07E5" w:rsidRPr="00822D53">
        <w:rPr>
          <w:rFonts w:ascii="Cambria" w:hAnsi="Cambria"/>
          <w:color w:val="000000" w:themeColor="text1"/>
        </w:rPr>
        <w:t>(</w:t>
      </w:r>
      <m:oMath>
        <m:sSub>
          <m:sSubPr>
            <m:ctrlPr>
              <w:rPr>
                <w:rFonts w:ascii="Cambria Math" w:hAnsi="Cambria Math"/>
                <w:color w:val="000000" w:themeColor="text1"/>
              </w:rPr>
            </m:ctrlPr>
          </m:sSubPr>
          <m:e>
            <m:r>
              <m:rPr>
                <m:sty m:val="p"/>
              </m:rPr>
              <w:rPr>
                <w:rFonts w:ascii="Cambria Math" w:hAnsi="Cambria Math"/>
                <w:color w:val="000000" w:themeColor="text1"/>
              </w:rPr>
              <m:t>Z</m:t>
            </m:r>
          </m:e>
          <m:sub>
            <m:r>
              <m:rPr>
                <m:sty m:val="p"/>
              </m:rPr>
              <w:rPr>
                <w:rFonts w:ascii="Cambria Math" w:hAnsi="Cambria Math"/>
                <w:color w:val="000000" w:themeColor="text1"/>
              </w:rPr>
              <m:t>t</m:t>
            </m:r>
          </m:sub>
        </m:sSub>
      </m:oMath>
      <w:r w:rsidR="00651261" w:rsidRPr="00822D53">
        <w:rPr>
          <w:rFonts w:ascii="Cambria" w:hAnsi="Cambria"/>
          <w:color w:val="000000" w:themeColor="text1"/>
        </w:rPr>
        <w:t>) t</w:t>
      </w:r>
      <w:r w:rsidRPr="00822D53">
        <w:rPr>
          <w:rFonts w:ascii="Cambria" w:hAnsi="Cambria"/>
          <w:color w:val="000000" w:themeColor="text1"/>
        </w:rPr>
        <w:t xml:space="preserve">hen we will use the external instruments procedure developed by </w:t>
      </w:r>
      <w:r w:rsidR="00C744C9" w:rsidRPr="00822D53">
        <w:rPr>
          <w:rFonts w:ascii="Cambria" w:hAnsi="Cambria"/>
          <w:color w:val="000000" w:themeColor="text1"/>
        </w:rPr>
        <w:t xml:space="preserve">Stock &amp; Watson (2002) and Mertens &amp; </w:t>
      </w:r>
      <w:proofErr w:type="spellStart"/>
      <w:r w:rsidR="00C744C9" w:rsidRPr="00822D53">
        <w:rPr>
          <w:rFonts w:ascii="Cambria" w:hAnsi="Cambria"/>
          <w:color w:val="000000" w:themeColor="text1"/>
        </w:rPr>
        <w:t>Ravn</w:t>
      </w:r>
      <w:proofErr w:type="spellEnd"/>
      <w:r w:rsidR="00C744C9" w:rsidRPr="00822D53">
        <w:rPr>
          <w:rFonts w:ascii="Cambria" w:hAnsi="Cambria"/>
          <w:color w:val="000000" w:themeColor="text1"/>
        </w:rPr>
        <w:t xml:space="preserve"> (2013)</w:t>
      </w:r>
      <w:r w:rsidRPr="00822D53">
        <w:rPr>
          <w:rFonts w:ascii="Cambria" w:hAnsi="Cambria"/>
          <w:color w:val="000000" w:themeColor="text1"/>
        </w:rPr>
        <w:t xml:space="preserve">.  In the external instruments methodology, the key requirements are to find instruments that are </w:t>
      </w:r>
      <w:proofErr w:type="spellStart"/>
      <w:r w:rsidRPr="00822D53">
        <w:rPr>
          <w:rFonts w:ascii="Cambria" w:hAnsi="Cambria"/>
          <w:color w:val="000000" w:themeColor="text1"/>
        </w:rPr>
        <w:t>i</w:t>
      </w:r>
      <w:proofErr w:type="spellEnd"/>
      <w:r w:rsidRPr="00822D53">
        <w:rPr>
          <w:rFonts w:ascii="Cambria" w:hAnsi="Cambria"/>
          <w:color w:val="000000" w:themeColor="text1"/>
        </w:rPr>
        <w:t xml:space="preserve">) correlated with the shocks of interest, and ii) uncorrelated with the other structural shocks.  Denote the structural policy shocks as </w:t>
      </w:r>
      <m:oMath>
        <m:sSubSup>
          <m:sSubSupPr>
            <m:ctrlPr>
              <w:rPr>
                <w:rFonts w:ascii="Cambria Math" w:hAnsi="Cambria Math"/>
                <w:color w:val="000000" w:themeColor="text1"/>
              </w:rPr>
            </m:ctrlPr>
          </m:sSubSupPr>
          <m:e>
            <m:r>
              <m:rPr>
                <m:sty m:val="p"/>
              </m:rPr>
              <w:rPr>
                <w:rFonts w:ascii="Cambria Math" w:hAnsi="Cambria Math"/>
                <w:color w:val="000000" w:themeColor="text1"/>
              </w:rPr>
              <m:t>ε</m:t>
            </m:r>
          </m:e>
          <m:sub>
            <m:r>
              <m:rPr>
                <m:sty m:val="p"/>
              </m:rPr>
              <w:rPr>
                <w:rFonts w:ascii="Cambria Math" w:hAnsi="Cambria Math"/>
                <w:color w:val="000000" w:themeColor="text1"/>
              </w:rPr>
              <m:t>t</m:t>
            </m:r>
          </m:sub>
          <m:sup>
            <m:r>
              <m:rPr>
                <m:sty m:val="p"/>
              </m:rPr>
              <w:rPr>
                <w:rFonts w:ascii="Cambria Math" w:hAnsi="Cambria Math"/>
                <w:color w:val="000000" w:themeColor="text1"/>
              </w:rPr>
              <m:t>p</m:t>
            </m:r>
          </m:sup>
        </m:sSubSup>
      </m:oMath>
      <w:r w:rsidR="004D0154" w:rsidRPr="00822D53">
        <w:rPr>
          <w:rFonts w:ascii="Cambria" w:hAnsi="Cambria"/>
          <w:color w:val="000000" w:themeColor="text1"/>
        </w:rPr>
        <w:t xml:space="preserve"> </w:t>
      </w:r>
      <w:r w:rsidRPr="00822D53">
        <w:rPr>
          <w:rFonts w:ascii="Cambria" w:hAnsi="Cambria"/>
          <w:color w:val="000000" w:themeColor="text1"/>
        </w:rPr>
        <w:t xml:space="preserve">and the structural non-policy shocks as </w:t>
      </w:r>
      <m:oMath>
        <m:sSubSup>
          <m:sSubSupPr>
            <m:ctrlPr>
              <w:rPr>
                <w:rFonts w:ascii="Cambria Math" w:hAnsi="Cambria Math"/>
                <w:color w:val="000000" w:themeColor="text1"/>
              </w:rPr>
            </m:ctrlPr>
          </m:sSubSupPr>
          <m:e>
            <m:r>
              <m:rPr>
                <m:sty m:val="p"/>
              </m:rPr>
              <w:rPr>
                <w:rFonts w:ascii="Cambria Math" w:hAnsi="Cambria Math"/>
                <w:color w:val="000000" w:themeColor="text1"/>
              </w:rPr>
              <m:t>ε</m:t>
            </m:r>
          </m:e>
          <m:sub>
            <m:r>
              <m:rPr>
                <m:sty m:val="p"/>
              </m:rPr>
              <w:rPr>
                <w:rFonts w:ascii="Cambria Math" w:hAnsi="Cambria Math"/>
                <w:color w:val="000000" w:themeColor="text1"/>
              </w:rPr>
              <m:t>t</m:t>
            </m:r>
          </m:sub>
          <m:sup>
            <m:r>
              <m:rPr>
                <m:sty m:val="p"/>
              </m:rPr>
              <w:rPr>
                <w:rFonts w:ascii="Cambria Math" w:hAnsi="Cambria Math"/>
                <w:color w:val="000000" w:themeColor="text1"/>
              </w:rPr>
              <m:t>q</m:t>
            </m:r>
          </m:sup>
        </m:sSubSup>
      </m:oMath>
      <w:r w:rsidR="004D0154" w:rsidRPr="00822D53">
        <w:rPr>
          <w:rFonts w:ascii="Cambria" w:hAnsi="Cambria"/>
          <w:color w:val="000000" w:themeColor="text1"/>
        </w:rPr>
        <w:t xml:space="preserve">. </w:t>
      </w:r>
      <w:r w:rsidRPr="00822D53">
        <w:rPr>
          <w:rFonts w:ascii="Cambria" w:hAnsi="Cambria"/>
          <w:color w:val="000000" w:themeColor="text1"/>
        </w:rPr>
        <w:t xml:space="preserve">The reduced-form residuals from the corresponding policy and non-policy equations are denoted </w:t>
      </w:r>
      <m:oMath>
        <m:sSubSup>
          <m:sSubSupPr>
            <m:ctrlPr>
              <w:rPr>
                <w:rFonts w:ascii="Cambria Math" w:hAnsi="Cambria Math"/>
                <w:color w:val="000000" w:themeColor="text1"/>
              </w:rPr>
            </m:ctrlPr>
          </m:sSubSupPr>
          <m:e>
            <m:r>
              <m:rPr>
                <m:sty m:val="p"/>
              </m:rPr>
              <w:rPr>
                <w:rFonts w:ascii="Cambria Math" w:hAnsi="Cambria Math"/>
                <w:color w:val="000000" w:themeColor="text1"/>
              </w:rPr>
              <m:t>u</m:t>
            </m:r>
          </m:e>
          <m:sub>
            <m:r>
              <m:rPr>
                <m:sty m:val="p"/>
              </m:rPr>
              <w:rPr>
                <w:rFonts w:ascii="Cambria Math" w:hAnsi="Cambria Math"/>
                <w:color w:val="000000" w:themeColor="text1"/>
              </w:rPr>
              <m:t>t</m:t>
            </m:r>
          </m:sub>
          <m:sup>
            <m:r>
              <m:rPr>
                <m:sty m:val="p"/>
              </m:rPr>
              <w:rPr>
                <w:rFonts w:ascii="Cambria Math" w:hAnsi="Cambria Math"/>
                <w:color w:val="000000" w:themeColor="text1"/>
              </w:rPr>
              <m:t>p</m:t>
            </m:r>
          </m:sup>
        </m:sSubSup>
      </m:oMath>
      <w:r w:rsidRPr="00822D53">
        <w:rPr>
          <w:rFonts w:ascii="Cambria" w:hAnsi="Cambria"/>
          <w:color w:val="000000" w:themeColor="text1"/>
        </w:rPr>
        <w:t xml:space="preserve">and </w:t>
      </w:r>
      <m:oMath>
        <m:sSubSup>
          <m:sSubSupPr>
            <m:ctrlPr>
              <w:rPr>
                <w:rFonts w:ascii="Cambria Math" w:hAnsi="Cambria Math"/>
                <w:color w:val="000000" w:themeColor="text1"/>
              </w:rPr>
            </m:ctrlPr>
          </m:sSubSupPr>
          <m:e>
            <m:r>
              <m:rPr>
                <m:sty m:val="p"/>
              </m:rPr>
              <w:rPr>
                <w:rFonts w:ascii="Cambria Math" w:hAnsi="Cambria Math"/>
                <w:color w:val="000000" w:themeColor="text1"/>
              </w:rPr>
              <m:t>u</m:t>
            </m:r>
          </m:e>
          <m:sub>
            <m:r>
              <m:rPr>
                <m:sty m:val="p"/>
              </m:rPr>
              <w:rPr>
                <w:rFonts w:ascii="Cambria Math" w:hAnsi="Cambria Math"/>
                <w:color w:val="000000" w:themeColor="text1"/>
              </w:rPr>
              <m:t>t</m:t>
            </m:r>
          </m:sub>
          <m:sup>
            <m:r>
              <m:rPr>
                <m:sty m:val="p"/>
              </m:rPr>
              <w:rPr>
                <w:rFonts w:ascii="Cambria Math" w:hAnsi="Cambria Math"/>
                <w:color w:val="000000" w:themeColor="text1"/>
              </w:rPr>
              <m:t>q</m:t>
            </m:r>
          </m:sup>
        </m:sSubSup>
      </m:oMath>
      <w:r w:rsidRPr="00822D53">
        <w:rPr>
          <w:rFonts w:ascii="Cambria" w:hAnsi="Cambria"/>
          <w:color w:val="000000" w:themeColor="text1"/>
        </w:rPr>
        <w:t xml:space="preserve"> respectively. For a given set of instruments </w:t>
      </w:r>
      <m:oMath>
        <m:sSub>
          <m:sSubPr>
            <m:ctrlPr>
              <w:rPr>
                <w:rFonts w:ascii="Cambria Math" w:hAnsi="Cambria Math"/>
                <w:color w:val="000000" w:themeColor="text1"/>
              </w:rPr>
            </m:ctrlPr>
          </m:sSubPr>
          <m:e>
            <m:r>
              <m:rPr>
                <m:sty m:val="p"/>
              </m:rPr>
              <w:rPr>
                <w:rFonts w:ascii="Cambria Math" w:hAnsi="Cambria Math"/>
                <w:color w:val="000000" w:themeColor="text1"/>
              </w:rPr>
              <m:t>Z</m:t>
            </m:r>
          </m:e>
          <m:sub>
            <m:r>
              <m:rPr>
                <m:sty m:val="p"/>
              </m:rPr>
              <w:rPr>
                <w:rFonts w:ascii="Cambria Math" w:hAnsi="Cambria Math"/>
                <w:color w:val="000000" w:themeColor="text1"/>
              </w:rPr>
              <m:t>t</m:t>
            </m:r>
          </m:sub>
        </m:sSub>
      </m:oMath>
      <w:r w:rsidR="00FD07E5" w:rsidRPr="00822D53">
        <w:rPr>
          <w:rFonts w:ascii="Cambria" w:hAnsi="Cambria"/>
          <w:color w:val="000000" w:themeColor="text1"/>
        </w:rPr>
        <w:t xml:space="preserve">, </w:t>
      </w:r>
      <w:r w:rsidRPr="00822D53">
        <w:rPr>
          <w:rFonts w:ascii="Cambria" w:hAnsi="Cambria"/>
          <w:color w:val="000000" w:themeColor="text1"/>
        </w:rPr>
        <w:t>these two conditions can be formally stated as</w:t>
      </w:r>
    </w:p>
    <w:p w14:paraId="379595F1" w14:textId="3621704D" w:rsidR="00B314CE" w:rsidRPr="00822D53" w:rsidRDefault="00822D53" w:rsidP="00E02A38">
      <w:pPr>
        <w:jc w:val="both"/>
        <w:rPr>
          <w:rFonts w:ascii="Cambria" w:eastAsiaTheme="minorEastAsia" w:hAnsi="Cambria"/>
          <w:color w:val="000000" w:themeColor="text1"/>
          <w:sz w:val="24"/>
          <w:szCs w:val="24"/>
        </w:rPr>
      </w:pPr>
      <m:oMathPara>
        <m:oMath>
          <m:r>
            <m:rPr>
              <m:sty m:val="p"/>
            </m:rPr>
            <w:rPr>
              <w:rFonts w:ascii="Cambria Math" w:eastAsiaTheme="minorEastAsia" w:hAnsi="Cambria Math"/>
              <w:color w:val="000000" w:themeColor="text1"/>
              <w:sz w:val="24"/>
              <w:szCs w:val="24"/>
            </w:rPr>
            <m:t>E[</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Z</m:t>
              </m:r>
            </m:e>
            <m:sub>
              <m:r>
                <m:rPr>
                  <m:sty m:val="p"/>
                </m:rPr>
                <w:rPr>
                  <w:rFonts w:ascii="Cambria Math" w:eastAsiaTheme="minorEastAsia" w:hAnsi="Cambria Math"/>
                  <w:color w:val="000000" w:themeColor="text1"/>
                  <w:sz w:val="24"/>
                  <w:szCs w:val="24"/>
                </w:rPr>
                <m:t>t</m:t>
              </m:r>
            </m:sub>
          </m:sSub>
          <m:sSubSup>
            <m:sSubSupPr>
              <m:ctrlPr>
                <w:rPr>
                  <w:rFonts w:ascii="Cambria Math" w:eastAsiaTheme="minorEastAsia" w:hAnsi="Cambria Math"/>
                  <w:color w:val="000000" w:themeColor="text1"/>
                  <w:sz w:val="24"/>
                  <w:szCs w:val="24"/>
                </w:rPr>
              </m:ctrlPr>
            </m:sSubSupPr>
            <m:e>
              <m:r>
                <m:rPr>
                  <m:sty m:val="p"/>
                </m:rPr>
                <w:rPr>
                  <w:rFonts w:ascii="Cambria Math" w:eastAsiaTheme="minorEastAsia" w:hAnsi="Cambria Math"/>
                  <w:color w:val="000000" w:themeColor="text1"/>
                  <w:sz w:val="24"/>
                  <w:szCs w:val="24"/>
                </w:rPr>
                <m:t>ε</m:t>
              </m:r>
            </m:e>
            <m:sub>
              <m:r>
                <m:rPr>
                  <m:sty m:val="p"/>
                </m:rPr>
                <w:rPr>
                  <w:rFonts w:ascii="Cambria Math" w:eastAsiaTheme="minorEastAsia" w:hAnsi="Cambria Math"/>
                  <w:color w:val="000000" w:themeColor="text1"/>
                  <w:sz w:val="24"/>
                  <w:szCs w:val="24"/>
                </w:rPr>
                <m:t>t</m:t>
              </m:r>
            </m:sub>
            <m:sup>
              <m:sSup>
                <m:sSupPr>
                  <m:ctrlPr>
                    <w:rPr>
                      <w:rFonts w:ascii="Cambria Math" w:eastAsiaTheme="minorEastAsia" w:hAnsi="Cambria Math"/>
                      <w:color w:val="000000" w:themeColor="text1"/>
                      <w:sz w:val="24"/>
                      <w:szCs w:val="24"/>
                    </w:rPr>
                  </m:ctrlPr>
                </m:sSupPr>
                <m:e>
                  <m:r>
                    <m:rPr>
                      <m:sty m:val="p"/>
                    </m:rPr>
                    <w:rPr>
                      <w:rFonts w:ascii="Cambria Math" w:eastAsiaTheme="minorEastAsia" w:hAnsi="Cambria Math"/>
                      <w:color w:val="000000" w:themeColor="text1"/>
                      <w:sz w:val="24"/>
                      <w:szCs w:val="24"/>
                    </w:rPr>
                    <m:t>p</m:t>
                  </m:r>
                </m:e>
                <m:sup>
                  <m:r>
                    <m:rPr>
                      <m:sty m:val="p"/>
                    </m:rPr>
                    <w:rPr>
                      <w:rFonts w:ascii="Cambria Math" w:eastAsiaTheme="minorEastAsia" w:hAnsi="Cambria Math"/>
                      <w:color w:val="000000" w:themeColor="text1"/>
                      <w:sz w:val="24"/>
                      <w:szCs w:val="24"/>
                    </w:rPr>
                    <m:t>'</m:t>
                  </m:r>
                </m:sup>
              </m:sSup>
            </m:sup>
          </m:sSubSup>
          <m:r>
            <m:rPr>
              <m:sty m:val="p"/>
            </m:rPr>
            <w:rPr>
              <w:rFonts w:ascii="Cambria Math" w:eastAsiaTheme="minorEastAsia" w:hAnsi="Cambria Math"/>
              <w:color w:val="000000" w:themeColor="text1"/>
              <w:sz w:val="24"/>
              <w:szCs w:val="24"/>
            </w:rPr>
            <m:t>]=ϕ</m:t>
          </m:r>
        </m:oMath>
      </m:oMathPara>
    </w:p>
    <w:p w14:paraId="353916E9" w14:textId="279A46DF" w:rsidR="00B314CE" w:rsidRPr="00822D53" w:rsidRDefault="00822D53" w:rsidP="00E02A38">
      <w:pPr>
        <w:jc w:val="both"/>
        <w:rPr>
          <w:rFonts w:ascii="Cambria" w:eastAsiaTheme="minorEastAsia" w:hAnsi="Cambria"/>
          <w:color w:val="000000" w:themeColor="text1"/>
          <w:sz w:val="24"/>
          <w:szCs w:val="24"/>
        </w:rPr>
      </w:pPr>
      <m:oMathPara>
        <m:oMath>
          <m:r>
            <m:rPr>
              <m:sty m:val="p"/>
            </m:rPr>
            <w:rPr>
              <w:rFonts w:ascii="Cambria Math" w:eastAsiaTheme="minorEastAsia" w:hAnsi="Cambria Math"/>
              <w:color w:val="000000" w:themeColor="text1"/>
              <w:sz w:val="24"/>
              <w:szCs w:val="24"/>
            </w:rPr>
            <m:t>E[</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Z</m:t>
              </m:r>
            </m:e>
            <m:sub>
              <m:r>
                <m:rPr>
                  <m:sty m:val="p"/>
                </m:rPr>
                <w:rPr>
                  <w:rFonts w:ascii="Cambria Math" w:eastAsiaTheme="minorEastAsia" w:hAnsi="Cambria Math"/>
                  <w:color w:val="000000" w:themeColor="text1"/>
                  <w:sz w:val="24"/>
                  <w:szCs w:val="24"/>
                </w:rPr>
                <m:t>t</m:t>
              </m:r>
            </m:sub>
          </m:sSub>
          <m:sSubSup>
            <m:sSubSupPr>
              <m:ctrlPr>
                <w:rPr>
                  <w:rFonts w:ascii="Cambria Math" w:eastAsiaTheme="minorEastAsia" w:hAnsi="Cambria Math"/>
                  <w:color w:val="000000" w:themeColor="text1"/>
                  <w:sz w:val="24"/>
                  <w:szCs w:val="24"/>
                </w:rPr>
              </m:ctrlPr>
            </m:sSubSupPr>
            <m:e>
              <m:r>
                <m:rPr>
                  <m:sty m:val="p"/>
                </m:rPr>
                <w:rPr>
                  <w:rFonts w:ascii="Cambria Math" w:eastAsiaTheme="minorEastAsia" w:hAnsi="Cambria Math"/>
                  <w:color w:val="000000" w:themeColor="text1"/>
                  <w:sz w:val="24"/>
                  <w:szCs w:val="24"/>
                </w:rPr>
                <m:t>ε</m:t>
              </m:r>
            </m:e>
            <m:sub>
              <m:r>
                <m:rPr>
                  <m:sty m:val="p"/>
                </m:rPr>
                <w:rPr>
                  <w:rFonts w:ascii="Cambria Math" w:eastAsiaTheme="minorEastAsia" w:hAnsi="Cambria Math"/>
                  <w:color w:val="000000" w:themeColor="text1"/>
                  <w:sz w:val="24"/>
                  <w:szCs w:val="24"/>
                </w:rPr>
                <m:t>t</m:t>
              </m:r>
            </m:sub>
            <m:sup>
              <m:sSup>
                <m:sSupPr>
                  <m:ctrlPr>
                    <w:rPr>
                      <w:rFonts w:ascii="Cambria Math" w:eastAsiaTheme="minorEastAsia" w:hAnsi="Cambria Math"/>
                      <w:color w:val="000000" w:themeColor="text1"/>
                      <w:sz w:val="24"/>
                      <w:szCs w:val="24"/>
                    </w:rPr>
                  </m:ctrlPr>
                </m:sSupPr>
                <m:e>
                  <m:r>
                    <m:rPr>
                      <m:sty m:val="p"/>
                    </m:rPr>
                    <w:rPr>
                      <w:rFonts w:ascii="Cambria Math" w:eastAsiaTheme="minorEastAsia" w:hAnsi="Cambria Math"/>
                      <w:color w:val="000000" w:themeColor="text1"/>
                      <w:sz w:val="24"/>
                      <w:szCs w:val="24"/>
                    </w:rPr>
                    <m:t>q</m:t>
                  </m:r>
                </m:e>
                <m:sup>
                  <m:r>
                    <m:rPr>
                      <m:sty m:val="p"/>
                    </m:rPr>
                    <w:rPr>
                      <w:rFonts w:ascii="Cambria Math" w:eastAsiaTheme="minorEastAsia" w:hAnsi="Cambria Math"/>
                      <w:color w:val="000000" w:themeColor="text1"/>
                      <w:sz w:val="24"/>
                      <w:szCs w:val="24"/>
                    </w:rPr>
                    <m:t>'</m:t>
                  </m:r>
                </m:sup>
              </m:sSup>
            </m:sup>
          </m:sSubSup>
          <m:r>
            <m:rPr>
              <m:sty m:val="p"/>
            </m:rPr>
            <w:rPr>
              <w:rFonts w:ascii="Cambria Math" w:eastAsiaTheme="minorEastAsia" w:hAnsi="Cambria Math"/>
              <w:color w:val="000000" w:themeColor="text1"/>
              <w:sz w:val="24"/>
              <w:szCs w:val="24"/>
            </w:rPr>
            <m:t>]=0</m:t>
          </m:r>
        </m:oMath>
      </m:oMathPara>
    </w:p>
    <w:p w14:paraId="1442A597" w14:textId="43AF8DA7" w:rsidR="00B314CE" w:rsidRPr="00822D53" w:rsidRDefault="00B314CE" w:rsidP="00E02A38">
      <w:pPr>
        <w:jc w:val="both"/>
        <w:rPr>
          <w:rFonts w:ascii="Cambria" w:eastAsiaTheme="minorEastAsia" w:hAnsi="Cambria"/>
          <w:color w:val="000000" w:themeColor="text1"/>
          <w:sz w:val="24"/>
          <w:szCs w:val="24"/>
        </w:rPr>
      </w:pPr>
      <w:r w:rsidRPr="00822D53">
        <w:rPr>
          <w:rFonts w:ascii="Cambria" w:hAnsi="Cambria"/>
          <w:color w:val="000000" w:themeColor="text1"/>
          <w:sz w:val="24"/>
          <w:szCs w:val="24"/>
        </w:rPr>
        <w:t xml:space="preserve">With these conditions it can be shown in a straightforward manner how to identify the structural impulse responses, see for example </w:t>
      </w:r>
      <w:r w:rsidR="00CF7D01" w:rsidRPr="00822D53">
        <w:rPr>
          <w:rFonts w:ascii="Cambria" w:hAnsi="Cambria"/>
          <w:color w:val="000000" w:themeColor="text1"/>
          <w:sz w:val="24"/>
          <w:szCs w:val="24"/>
        </w:rPr>
        <w:t xml:space="preserve">Mertens &amp; </w:t>
      </w:r>
      <w:proofErr w:type="spellStart"/>
      <w:r w:rsidR="00CF7D01" w:rsidRPr="00822D53">
        <w:rPr>
          <w:rFonts w:ascii="Cambria" w:hAnsi="Cambria"/>
          <w:color w:val="000000" w:themeColor="text1"/>
          <w:sz w:val="24"/>
          <w:szCs w:val="24"/>
        </w:rPr>
        <w:t>Ravn</w:t>
      </w:r>
      <w:proofErr w:type="spellEnd"/>
      <w:r w:rsidR="00CF7D01" w:rsidRPr="00822D53">
        <w:rPr>
          <w:rFonts w:ascii="Cambria" w:hAnsi="Cambria"/>
          <w:color w:val="000000" w:themeColor="text1"/>
          <w:sz w:val="24"/>
          <w:szCs w:val="24"/>
        </w:rPr>
        <w:t xml:space="preserve"> (2013).  </w:t>
      </w:r>
    </w:p>
    <w:p w14:paraId="2D90080E" w14:textId="216BA4CD" w:rsidR="00B314CE" w:rsidRPr="00822D53" w:rsidRDefault="004F2F18" w:rsidP="00E02A38">
      <w:pPr>
        <w:pStyle w:val="NormalWeb"/>
        <w:jc w:val="both"/>
        <w:rPr>
          <w:rFonts w:ascii="Cambria" w:hAnsi="Cambria"/>
          <w:color w:val="000000" w:themeColor="text1"/>
        </w:rPr>
      </w:pPr>
      <w:proofErr w:type="spellStart"/>
      <w:r w:rsidRPr="00822D53">
        <w:rPr>
          <w:rStyle w:val="Emphasis"/>
          <w:rFonts w:ascii="Cambria" w:hAnsi="Cambria" w:cstheme="minorHAnsi"/>
          <w:bCs/>
          <w:i w:val="0"/>
          <w:iCs w:val="0"/>
          <w:color w:val="000000" w:themeColor="text1"/>
        </w:rPr>
        <w:t>Jordà</w:t>
      </w:r>
      <w:proofErr w:type="spellEnd"/>
      <w:r w:rsidRPr="00822D53">
        <w:rPr>
          <w:rFonts w:ascii="Cambria" w:hAnsi="Cambria"/>
          <w:color w:val="000000" w:themeColor="text1"/>
        </w:rPr>
        <w:t xml:space="preserve"> (2005) </w:t>
      </w:r>
      <w:r w:rsidR="00B314CE" w:rsidRPr="00822D53">
        <w:rPr>
          <w:rFonts w:ascii="Cambria" w:hAnsi="Cambria"/>
          <w:color w:val="000000" w:themeColor="text1"/>
        </w:rPr>
        <w:t xml:space="preserve">introduced the local projections method for directly estimating impulse responses without relying on assumption that the vector auto regression (VAR) is correctly specified. In an analogy with forecasting, this method involves forecasting future values of a variable using a horizon specific regression rather than iterating one-period ahead on the estimated model. Estimating impulse responses using VAR is analogous to iterated forecasting while local projections method is analogous to direct forecasting. With a correctly specified VAR and standard assumptions on invertibility, </w:t>
      </w:r>
      <w:r w:rsidR="00F45D60" w:rsidRPr="00822D53">
        <w:rPr>
          <w:rFonts w:ascii="Cambria" w:hAnsi="Cambria"/>
          <w:color w:val="000000" w:themeColor="text1"/>
        </w:rPr>
        <w:t xml:space="preserve">Stock &amp; Watson (2018) and with some generality </w:t>
      </w:r>
      <w:proofErr w:type="spellStart"/>
      <w:r w:rsidR="00F45D60" w:rsidRPr="00822D53">
        <w:rPr>
          <w:rFonts w:ascii="Cambria" w:hAnsi="Cambria"/>
          <w:color w:val="000000" w:themeColor="text1"/>
        </w:rPr>
        <w:t>Plagborg-Møller</w:t>
      </w:r>
      <w:proofErr w:type="spellEnd"/>
      <w:r w:rsidR="00F45D60" w:rsidRPr="00822D53">
        <w:rPr>
          <w:rFonts w:ascii="Cambria" w:hAnsi="Cambria"/>
          <w:color w:val="000000" w:themeColor="text1"/>
        </w:rPr>
        <w:t xml:space="preserve"> &amp; Wolf (2019</w:t>
      </w:r>
      <w:r w:rsidR="00414778" w:rsidRPr="00822D53">
        <w:rPr>
          <w:rFonts w:ascii="Cambria" w:hAnsi="Cambria"/>
          <w:color w:val="000000" w:themeColor="text1"/>
        </w:rPr>
        <w:t>) prove</w:t>
      </w:r>
      <w:r w:rsidR="00B314CE" w:rsidRPr="00822D53">
        <w:rPr>
          <w:rFonts w:ascii="Cambria" w:hAnsi="Cambria"/>
          <w:color w:val="000000" w:themeColor="text1"/>
        </w:rPr>
        <w:t xml:space="preserve"> that the impulse responses estimated using structural VARs and local projections are identical. </w:t>
      </w:r>
      <w:r w:rsidR="00A96B8A" w:rsidRPr="00822D53">
        <w:rPr>
          <w:rFonts w:ascii="Cambria" w:hAnsi="Cambria"/>
          <w:color w:val="000000" w:themeColor="text1"/>
        </w:rPr>
        <w:t>However,</w:t>
      </w:r>
      <w:r w:rsidR="00B314CE" w:rsidRPr="00822D53">
        <w:rPr>
          <w:rFonts w:ascii="Cambria" w:hAnsi="Cambria"/>
          <w:color w:val="000000" w:themeColor="text1"/>
        </w:rPr>
        <w:t xml:space="preserve"> in small samples, it is possible to reach different conclusions using the two different methods, thus we explore both of them in this paper.</w:t>
      </w:r>
    </w:p>
    <w:p w14:paraId="3B044DB8" w14:textId="14516EEF" w:rsidR="00B314CE" w:rsidRPr="00822D53" w:rsidRDefault="00B314CE" w:rsidP="00A56EAF">
      <w:pPr>
        <w:pStyle w:val="NormalWeb"/>
        <w:jc w:val="both"/>
        <w:rPr>
          <w:rFonts w:ascii="Cambria" w:hAnsi="Cambria"/>
          <w:color w:val="000000" w:themeColor="text1"/>
        </w:rPr>
      </w:pPr>
      <w:r w:rsidRPr="00822D53">
        <w:rPr>
          <w:rFonts w:ascii="Cambria" w:hAnsi="Cambria"/>
          <w:color w:val="000000" w:themeColor="text1"/>
        </w:rPr>
        <w:t xml:space="preserve">For incorporating instruments variables into the </w:t>
      </w:r>
      <w:r w:rsidRPr="00B24F2F">
        <w:rPr>
          <w:rFonts w:ascii="Cambria" w:hAnsi="Cambria"/>
          <w:i/>
          <w:color w:val="000000" w:themeColor="text1"/>
        </w:rPr>
        <w:t>local projections</w:t>
      </w:r>
      <w:r w:rsidRPr="00822D53">
        <w:rPr>
          <w:rFonts w:ascii="Cambria" w:hAnsi="Cambria"/>
          <w:color w:val="000000" w:themeColor="text1"/>
        </w:rPr>
        <w:t xml:space="preserve"> </w:t>
      </w:r>
      <w:r w:rsidR="001870EA" w:rsidRPr="00822D53">
        <w:rPr>
          <w:rFonts w:ascii="Cambria" w:hAnsi="Cambria"/>
          <w:color w:val="000000" w:themeColor="text1"/>
        </w:rPr>
        <w:t>framework,</w:t>
      </w:r>
      <w:r w:rsidRPr="00822D53">
        <w:rPr>
          <w:rFonts w:ascii="Cambria" w:hAnsi="Cambria"/>
          <w:color w:val="000000" w:themeColor="text1"/>
        </w:rPr>
        <w:t xml:space="preserve"> we will follow the recent literature </w:t>
      </w:r>
      <w:r w:rsidR="00AC4113" w:rsidRPr="00822D53">
        <w:rPr>
          <w:rFonts w:ascii="Cambria" w:hAnsi="Cambria"/>
          <w:color w:val="000000" w:themeColor="text1"/>
        </w:rPr>
        <w:t>(</w:t>
      </w:r>
      <w:proofErr w:type="spellStart"/>
      <w:r w:rsidR="00AC4113" w:rsidRPr="00822D53">
        <w:rPr>
          <w:rStyle w:val="Emphasis"/>
          <w:rFonts w:ascii="Cambria" w:hAnsi="Cambria" w:cstheme="minorHAnsi"/>
          <w:bCs/>
          <w:i w:val="0"/>
          <w:iCs w:val="0"/>
          <w:color w:val="000000" w:themeColor="text1"/>
        </w:rPr>
        <w:t>Jordà</w:t>
      </w:r>
      <w:proofErr w:type="spellEnd"/>
      <w:r w:rsidR="00AC4113" w:rsidRPr="00822D53">
        <w:rPr>
          <w:rStyle w:val="Emphasis"/>
          <w:rFonts w:ascii="Cambria" w:hAnsi="Cambria" w:cstheme="minorHAnsi"/>
          <w:bCs/>
          <w:i w:val="0"/>
          <w:iCs w:val="0"/>
          <w:color w:val="000000" w:themeColor="text1"/>
        </w:rPr>
        <w:t xml:space="preserve"> </w:t>
      </w:r>
      <w:r w:rsidR="00E733A0">
        <w:rPr>
          <w:rStyle w:val="Emphasis"/>
          <w:rFonts w:ascii="Cambria" w:hAnsi="Cambria" w:cstheme="minorHAnsi"/>
          <w:bCs/>
          <w:i w:val="0"/>
          <w:iCs w:val="0"/>
          <w:color w:val="000000" w:themeColor="text1"/>
        </w:rPr>
        <w:t>Singh &amp; Taylor</w:t>
      </w:r>
      <w:r w:rsidR="00AC4113" w:rsidRPr="00822D53">
        <w:rPr>
          <w:rStyle w:val="Emphasis"/>
          <w:rFonts w:ascii="Cambria" w:hAnsi="Cambria" w:cstheme="minorHAnsi"/>
          <w:bCs/>
          <w:i w:val="0"/>
          <w:iCs w:val="0"/>
          <w:color w:val="000000" w:themeColor="text1"/>
        </w:rPr>
        <w:t xml:space="preserve"> 20</w:t>
      </w:r>
      <w:r w:rsidR="00E733A0">
        <w:rPr>
          <w:rStyle w:val="Emphasis"/>
          <w:rFonts w:ascii="Cambria" w:hAnsi="Cambria" w:cstheme="minorHAnsi"/>
          <w:bCs/>
          <w:i w:val="0"/>
          <w:iCs w:val="0"/>
          <w:color w:val="000000" w:themeColor="text1"/>
        </w:rPr>
        <w:t>20</w:t>
      </w:r>
      <w:r w:rsidR="00AC4113" w:rsidRPr="00822D53">
        <w:rPr>
          <w:rStyle w:val="Emphasis"/>
          <w:rFonts w:ascii="Cambria" w:hAnsi="Cambria" w:cstheme="minorHAnsi"/>
          <w:bCs/>
          <w:i w:val="0"/>
          <w:iCs w:val="0"/>
          <w:color w:val="000000" w:themeColor="text1"/>
        </w:rPr>
        <w:t xml:space="preserve">, </w:t>
      </w:r>
      <w:r w:rsidR="00AC4113" w:rsidRPr="00822D53">
        <w:rPr>
          <w:rFonts w:ascii="Cambria" w:hAnsi="Cambria"/>
          <w:color w:val="000000" w:themeColor="text1"/>
        </w:rPr>
        <w:t xml:space="preserve">Ramey &amp; </w:t>
      </w:r>
      <w:proofErr w:type="spellStart"/>
      <w:r w:rsidR="00AC4113" w:rsidRPr="00822D53">
        <w:rPr>
          <w:rFonts w:ascii="Cambria" w:hAnsi="Cambria"/>
          <w:color w:val="000000" w:themeColor="text1"/>
        </w:rPr>
        <w:t>Zubairy</w:t>
      </w:r>
      <w:proofErr w:type="spellEnd"/>
      <w:r w:rsidR="00AC4113" w:rsidRPr="00822D53">
        <w:rPr>
          <w:rFonts w:ascii="Cambria" w:hAnsi="Cambria"/>
          <w:color w:val="000000" w:themeColor="text1"/>
        </w:rPr>
        <w:t xml:space="preserve"> 2018</w:t>
      </w:r>
      <w:r w:rsidRPr="00822D53">
        <w:rPr>
          <w:rFonts w:ascii="Cambria" w:hAnsi="Cambria"/>
          <w:color w:val="000000" w:themeColor="text1"/>
        </w:rPr>
        <w:t xml:space="preserve">).  This strategy is appropriate if the direct shocks are measured with error or if they capture only part of the shock.   we treat the measured macroeconomic shocks </w:t>
      </w:r>
      <m:oMath>
        <m:sSub>
          <m:sSubPr>
            <m:ctrlPr>
              <w:rPr>
                <w:rFonts w:ascii="Cambria Math" w:hAnsi="Cambria Math"/>
                <w:color w:val="000000" w:themeColor="text1"/>
              </w:rPr>
            </m:ctrlPr>
          </m:sSubPr>
          <m:e>
            <m:r>
              <m:rPr>
                <m:sty m:val="p"/>
              </m:rPr>
              <w:rPr>
                <w:rFonts w:ascii="Cambria Math" w:hAnsi="Cambria Math"/>
                <w:color w:val="000000" w:themeColor="text1"/>
              </w:rPr>
              <m:t>e</m:t>
            </m:r>
          </m:e>
          <m:sub>
            <m:r>
              <m:rPr>
                <m:sty m:val="p"/>
              </m:rPr>
              <w:rPr>
                <w:rFonts w:ascii="Cambria Math" w:hAnsi="Cambria Math"/>
                <w:color w:val="000000" w:themeColor="text1"/>
              </w:rPr>
              <m:t>t</m:t>
            </m:r>
          </m:sub>
        </m:sSub>
      </m:oMath>
      <w:r w:rsidR="00882493" w:rsidRPr="00822D53">
        <w:rPr>
          <w:rFonts w:ascii="Cambria" w:hAnsi="Cambria"/>
          <w:color w:val="000000" w:themeColor="text1"/>
        </w:rPr>
        <w:t xml:space="preserve"> </w:t>
      </w:r>
      <w:r w:rsidRPr="00822D53">
        <w:rPr>
          <w:rFonts w:ascii="Cambria" w:hAnsi="Cambria"/>
          <w:color w:val="000000" w:themeColor="text1"/>
        </w:rPr>
        <w:t xml:space="preserve">as proxy for the true shocks </w:t>
      </w:r>
      <m:oMath>
        <m:sSub>
          <m:sSubPr>
            <m:ctrlPr>
              <w:rPr>
                <w:rFonts w:ascii="Cambria Math" w:hAnsi="Cambria Math"/>
                <w:color w:val="000000" w:themeColor="text1"/>
              </w:rPr>
            </m:ctrlPr>
          </m:sSubPr>
          <m:e>
            <m:r>
              <m:rPr>
                <m:sty m:val="p"/>
              </m:rPr>
              <w:rPr>
                <w:rFonts w:ascii="Cambria Math" w:hAnsi="Cambria Math"/>
                <w:color w:val="000000" w:themeColor="text1"/>
              </w:rPr>
              <m:t>ε</m:t>
            </m:r>
          </m:e>
          <m:sub>
            <m:r>
              <m:rPr>
                <m:sty m:val="p"/>
              </m:rPr>
              <w:rPr>
                <w:rFonts w:ascii="Cambria Math" w:hAnsi="Cambria Math"/>
                <w:color w:val="000000" w:themeColor="text1"/>
              </w:rPr>
              <m:t>t</m:t>
            </m:r>
          </m:sub>
        </m:sSub>
      </m:oMath>
      <w:r w:rsidR="001E3A56" w:rsidRPr="00822D53">
        <w:rPr>
          <w:rFonts w:ascii="Cambria" w:hAnsi="Cambria"/>
          <w:color w:val="000000" w:themeColor="text1"/>
        </w:rPr>
        <w:t xml:space="preserve">. </w:t>
      </w:r>
      <w:r w:rsidRPr="00822D53">
        <w:rPr>
          <w:rFonts w:ascii="Cambria" w:hAnsi="Cambria"/>
          <w:color w:val="000000" w:themeColor="text1"/>
        </w:rPr>
        <w:t xml:space="preserve">Here we describe the estimation strategy with local projections instrumental variables technique, and relegate the discussion of SVAR-IV to the appendix. In the first-stage, we instrument a policy indicator (for example the federal funds rate) with the relevant proxy.  In the second stage, we run a sequence of predictive regressions of the dependent variable on the </w:t>
      </w:r>
      <w:r w:rsidRPr="00822D53">
        <w:rPr>
          <w:rFonts w:ascii="Cambria" w:hAnsi="Cambria"/>
          <w:color w:val="000000" w:themeColor="text1"/>
        </w:rPr>
        <w:lastRenderedPageBreak/>
        <w:t>instrumented policy indicator for different prediction horizons. The estimated sequence of regression coefficients of the instrumented policy indicator are then the impulse responses.</w:t>
      </w:r>
    </w:p>
    <w:p w14:paraId="2F2662FD" w14:textId="19D5ECE9" w:rsidR="00B314CE" w:rsidRPr="00822D53" w:rsidRDefault="00B314CE" w:rsidP="00E02A38">
      <w:pPr>
        <w:jc w:val="both"/>
        <w:rPr>
          <w:rFonts w:ascii="Cambria" w:hAnsi="Cambria"/>
          <w:color w:val="000000" w:themeColor="text1"/>
          <w:sz w:val="24"/>
          <w:szCs w:val="24"/>
        </w:rPr>
      </w:pPr>
      <w:r w:rsidRPr="00822D53">
        <w:rPr>
          <w:rFonts w:ascii="Cambria" w:hAnsi="Cambria"/>
          <w:color w:val="000000" w:themeColor="text1"/>
          <w:sz w:val="24"/>
          <w:szCs w:val="24"/>
        </w:rPr>
        <w:t xml:space="preserve">More specifically, we estimate the following second-stage LP specification for horizons </w:t>
      </w:r>
      <m:oMath>
        <m:r>
          <m:rPr>
            <m:sty m:val="p"/>
          </m:rPr>
          <w:rPr>
            <w:rFonts w:ascii="Cambria Math" w:hAnsi="Cambria Math"/>
            <w:color w:val="000000" w:themeColor="text1"/>
            <w:sz w:val="24"/>
            <w:szCs w:val="24"/>
          </w:rPr>
          <m:t xml:space="preserve">h∈0, …H </m:t>
        </m:r>
      </m:oMath>
      <w:r w:rsidR="00B534A3" w:rsidRPr="00822D53">
        <w:rPr>
          <w:rFonts w:ascii="Cambria" w:hAnsi="Cambria"/>
          <w:color w:val="000000" w:themeColor="text1"/>
          <w:sz w:val="24"/>
          <w:szCs w:val="24"/>
        </w:rPr>
        <w:t>:</w:t>
      </w:r>
    </w:p>
    <w:p w14:paraId="4DDFA8CB" w14:textId="3DDAB386" w:rsidR="00B314CE" w:rsidRPr="00822D53" w:rsidRDefault="00457654" w:rsidP="00E02A38">
      <w:pPr>
        <w:jc w:val="both"/>
        <w:rPr>
          <w:rFonts w:ascii="Cambria" w:hAnsi="Cambr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y</m:t>
              </m:r>
            </m:e>
            <m:sub>
              <m:r>
                <m:rPr>
                  <m:sty m:val="p"/>
                </m:rPr>
                <w:rPr>
                  <w:rFonts w:ascii="Cambria Math" w:hAnsi="Cambria Math"/>
                  <w:color w:val="000000" w:themeColor="text1"/>
                  <w:sz w:val="24"/>
                  <w:szCs w:val="24"/>
                </w:rPr>
                <m:t>t+h</m:t>
              </m:r>
            </m:sub>
          </m:sSub>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α</m:t>
              </m:r>
            </m:e>
            <m:sup>
              <m:r>
                <m:rPr>
                  <m:sty m:val="p"/>
                </m:rPr>
                <w:rPr>
                  <w:rFonts w:ascii="Cambria Math" w:hAnsi="Cambria Math"/>
                  <w:color w:val="000000" w:themeColor="text1"/>
                  <w:sz w:val="24"/>
                  <w:szCs w:val="24"/>
                </w:rPr>
                <m:t>h</m:t>
              </m:r>
            </m:sup>
          </m:sSup>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β</m:t>
              </m:r>
            </m:e>
            <m:sup>
              <m:r>
                <m:rPr>
                  <m:sty m:val="p"/>
                </m:rPr>
                <w:rPr>
                  <w:rFonts w:ascii="Cambria Math" w:hAnsi="Cambria Math"/>
                  <w:color w:val="000000" w:themeColor="text1"/>
                  <w:sz w:val="24"/>
                  <w:szCs w:val="24"/>
                </w:rPr>
                <m:t>h</m:t>
              </m:r>
            </m:sup>
          </m:sSup>
          <m:sSub>
            <m:sSubPr>
              <m:ctrlPr>
                <w:rPr>
                  <w:rFonts w:ascii="Cambria Math" w:hAnsi="Cambria Math"/>
                  <w:color w:val="000000" w:themeColor="text1"/>
                  <w:sz w:val="24"/>
                  <w:szCs w:val="24"/>
                </w:rPr>
              </m:ctrlPr>
            </m:sSubPr>
            <m:e>
              <m:acc>
                <m:accPr>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x</m:t>
                  </m:r>
                </m:e>
              </m:acc>
            </m:e>
            <m:sub>
              <m:r>
                <m:rPr>
                  <m:sty m:val="p"/>
                </m:rPr>
                <w:rPr>
                  <w:rFonts w:ascii="Cambria Math" w:hAnsi="Cambria Math"/>
                  <w:color w:val="000000" w:themeColor="text1"/>
                  <w:sz w:val="24"/>
                  <w:szCs w:val="24"/>
                </w:rPr>
                <m:t>t</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Σ</m:t>
              </m:r>
            </m:e>
            <m:sub>
              <m:r>
                <m:rPr>
                  <m:sty m:val="p"/>
                </m:rPr>
                <w:rPr>
                  <w:rFonts w:ascii="Cambria Math" w:hAnsi="Cambria Math"/>
                  <w:color w:val="000000" w:themeColor="text1"/>
                  <w:sz w:val="24"/>
                  <w:szCs w:val="24"/>
                </w:rPr>
                <m:t>p</m:t>
              </m:r>
            </m:sub>
          </m:sSub>
          <m:r>
            <m:rPr>
              <m:sty m:val="p"/>
            </m:rPr>
            <w:rPr>
              <w:rFonts w:ascii="Cambria Math" w:hAnsi="Cambria Math"/>
              <w:color w:val="000000" w:themeColor="text1"/>
              <w:sz w:val="24"/>
              <w:szCs w:val="24"/>
            </w:rPr>
            <m:t xml:space="preserve"> </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θ</m:t>
              </m:r>
            </m:e>
            <m:sup>
              <m:r>
                <m:rPr>
                  <m:sty m:val="p"/>
                </m:rPr>
                <w:rPr>
                  <w:rFonts w:ascii="Cambria Math" w:hAnsi="Cambria Math"/>
                  <w:color w:val="000000" w:themeColor="text1"/>
                  <w:sz w:val="24"/>
                  <w:szCs w:val="24"/>
                </w:rPr>
                <m:t>ph</m:t>
              </m:r>
            </m:sup>
          </m:sSup>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Z</m:t>
              </m:r>
            </m:e>
            <m:sub>
              <m:r>
                <m:rPr>
                  <m:sty m:val="p"/>
                </m:rPr>
                <w:rPr>
                  <w:rFonts w:ascii="Cambria Math" w:hAnsi="Cambria Math"/>
                  <w:color w:val="000000" w:themeColor="text1"/>
                  <w:sz w:val="24"/>
                  <w:szCs w:val="24"/>
                </w:rPr>
                <m:t>t-p</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ν</m:t>
              </m:r>
            </m:e>
            <m:sub>
              <m:r>
                <m:rPr>
                  <m:sty m:val="p"/>
                </m:rPr>
                <w:rPr>
                  <w:rFonts w:ascii="Cambria Math" w:hAnsi="Cambria Math"/>
                  <w:color w:val="000000" w:themeColor="text1"/>
                  <w:sz w:val="24"/>
                  <w:szCs w:val="24"/>
                </w:rPr>
                <m:t>t+h</m:t>
              </m:r>
            </m:sub>
          </m:sSub>
        </m:oMath>
      </m:oMathPara>
    </w:p>
    <w:p w14:paraId="026E7D26" w14:textId="1CB20608" w:rsidR="00B314CE" w:rsidRPr="00822D53" w:rsidRDefault="00457654" w:rsidP="00E02A38">
      <w:pPr>
        <w:jc w:val="both"/>
        <w:rPr>
          <w:rFonts w:ascii="Cambria" w:hAnsi="Cambria"/>
          <w:color w:val="000000" w:themeColor="text1"/>
          <w:sz w:val="24"/>
          <w:szCs w:val="24"/>
        </w:rPr>
      </w:pPr>
      <m:oMath>
        <m:sSub>
          <m:sSubPr>
            <m:ctrlPr>
              <w:rPr>
                <w:rFonts w:ascii="Cambria Math" w:hAnsi="Cambria Math"/>
                <w:color w:val="000000" w:themeColor="text1"/>
                <w:sz w:val="24"/>
                <w:szCs w:val="24"/>
              </w:rPr>
            </m:ctrlPr>
          </m:sSubPr>
          <m:e>
            <m:acc>
              <m:accPr>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x</m:t>
                </m:r>
              </m:e>
            </m:acc>
          </m:e>
          <m:sub>
            <m:r>
              <m:rPr>
                <m:sty m:val="p"/>
              </m:rPr>
              <w:rPr>
                <w:rFonts w:ascii="Cambria Math" w:hAnsi="Cambria Math"/>
                <w:color w:val="000000" w:themeColor="text1"/>
                <w:sz w:val="24"/>
                <w:szCs w:val="24"/>
              </w:rPr>
              <m:t>t</m:t>
            </m:r>
          </m:sub>
        </m:sSub>
      </m:oMath>
      <w:r w:rsidR="00B314CE" w:rsidRPr="00822D53">
        <w:rPr>
          <w:rFonts w:ascii="Cambria" w:hAnsi="Cambria"/>
          <w:color w:val="000000" w:themeColor="text1"/>
          <w:sz w:val="24"/>
          <w:szCs w:val="24"/>
        </w:rPr>
        <w:t xml:space="preserve"> is the predicted policy instrument from the first-stage regression using instruments for the measured macroeconomic shocks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t</m:t>
            </m:r>
          </m:sub>
        </m:sSub>
      </m:oMath>
      <w:r w:rsidR="00E859AB" w:rsidRPr="00822D53">
        <w:rPr>
          <w:rFonts w:ascii="Cambria" w:eastAsiaTheme="minorEastAsia" w:hAnsi="Cambria"/>
          <w:color w:val="000000" w:themeColor="text1"/>
          <w:sz w:val="24"/>
          <w:szCs w:val="24"/>
        </w:rPr>
        <w:t xml:space="preserve">. </w:t>
      </w:r>
      <w:r w:rsidR="00B314CE" w:rsidRPr="00822D53">
        <w:rPr>
          <w:rFonts w:ascii="Cambria" w:hAnsi="Cambria"/>
          <w:color w:val="000000" w:themeColor="text1"/>
          <w:sz w:val="24"/>
          <w:szCs w:val="24"/>
        </w:rPr>
        <w:t xml:space="preserve">The set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Z</m:t>
            </m:r>
          </m:e>
          <m:sub>
            <m:r>
              <m:rPr>
                <m:sty m:val="p"/>
              </m:rPr>
              <w:rPr>
                <w:rFonts w:ascii="Cambria Math" w:hAnsi="Cambria Math"/>
                <w:color w:val="000000" w:themeColor="text1"/>
                <w:sz w:val="24"/>
                <w:szCs w:val="24"/>
              </w:rPr>
              <m:t>t</m:t>
            </m:r>
          </m:sub>
        </m:sSub>
      </m:oMath>
      <w:r w:rsidR="00747CDA" w:rsidRPr="00822D53">
        <w:rPr>
          <w:rFonts w:ascii="Cambria" w:eastAsiaTheme="minorEastAsia" w:hAnsi="Cambria"/>
          <w:color w:val="000000" w:themeColor="text1"/>
          <w:sz w:val="24"/>
          <w:szCs w:val="24"/>
        </w:rPr>
        <w:t xml:space="preserve"> </w:t>
      </w:r>
      <w:r w:rsidR="00B314CE" w:rsidRPr="00822D53">
        <w:rPr>
          <w:rFonts w:ascii="Cambria" w:hAnsi="Cambria"/>
          <w:color w:val="000000" w:themeColor="text1"/>
          <w:sz w:val="24"/>
          <w:szCs w:val="24"/>
        </w:rPr>
        <w:t xml:space="preserve">includes lags of dependent variable, the policy indicator, the policy instrument, and the current and lagged conditioning variables that identify exogenous fluctuations in the instrument and improve precision of standard errors (see </w:t>
      </w:r>
      <w:r w:rsidR="001455AD" w:rsidRPr="00822D53">
        <w:rPr>
          <w:rFonts w:ascii="Cambria" w:hAnsi="Cambria"/>
          <w:color w:val="000000" w:themeColor="text1"/>
          <w:sz w:val="24"/>
          <w:szCs w:val="24"/>
        </w:rPr>
        <w:t xml:space="preserve">Stock &amp; Watson, 2018). </w:t>
      </w:r>
      <w:r w:rsidR="00B314CE" w:rsidRPr="00822D53">
        <w:rPr>
          <w:rFonts w:ascii="Cambria" w:hAnsi="Cambria"/>
          <w:color w:val="000000" w:themeColor="text1"/>
          <w:sz w:val="24"/>
          <w:szCs w:val="24"/>
        </w:rPr>
        <w:t xml:space="preserve">The dynamic coefficients of interest are, therefore, the estimates of </w:t>
      </w:r>
      <m:oMath>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β</m:t>
            </m:r>
          </m:e>
          <m:sup>
            <m:r>
              <m:rPr>
                <m:sty m:val="p"/>
              </m:rPr>
              <w:rPr>
                <w:rFonts w:ascii="Cambria Math" w:hAnsi="Cambria Math"/>
                <w:color w:val="000000" w:themeColor="text1"/>
                <w:sz w:val="24"/>
                <w:szCs w:val="24"/>
              </w:rPr>
              <m:t>h</m:t>
            </m:r>
          </m:sup>
        </m:sSup>
        <m:r>
          <m:rPr>
            <m:sty m:val="p"/>
          </m:rPr>
          <w:rPr>
            <w:rFonts w:ascii="Cambria Math" w:hAnsi="Cambria Math"/>
            <w:color w:val="000000" w:themeColor="text1"/>
            <w:sz w:val="24"/>
            <w:szCs w:val="24"/>
          </w:rPr>
          <m:t xml:space="preserve"> </m:t>
        </m:r>
      </m:oMath>
      <w:r w:rsidR="00B314CE" w:rsidRPr="00822D53">
        <w:rPr>
          <w:rFonts w:ascii="Cambria" w:hAnsi="Cambria"/>
          <w:color w:val="000000" w:themeColor="text1"/>
          <w:sz w:val="24"/>
          <w:szCs w:val="24"/>
        </w:rPr>
        <w:t xml:space="preserve">for </w:t>
      </w:r>
      <m:oMath>
        <m:r>
          <m:rPr>
            <m:sty m:val="p"/>
          </m:rPr>
          <w:rPr>
            <w:rFonts w:ascii="Cambria Math" w:hAnsi="Cambria Math"/>
            <w:color w:val="000000" w:themeColor="text1"/>
            <w:sz w:val="24"/>
            <w:szCs w:val="24"/>
          </w:rPr>
          <m:t>h=0, 1,…H</m:t>
        </m:r>
      </m:oMath>
      <w:r w:rsidR="00116011" w:rsidRPr="00822D53">
        <w:rPr>
          <w:rFonts w:ascii="Cambria" w:hAnsi="Cambria"/>
          <w:color w:val="000000" w:themeColor="text1"/>
          <w:sz w:val="24"/>
          <w:szCs w:val="24"/>
        </w:rPr>
        <w:t xml:space="preserve">. </w:t>
      </w:r>
      <w:r w:rsidR="00B314CE" w:rsidRPr="00822D53">
        <w:rPr>
          <w:rFonts w:ascii="Cambria" w:hAnsi="Cambria"/>
          <w:color w:val="000000" w:themeColor="text1"/>
          <w:sz w:val="24"/>
          <w:szCs w:val="24"/>
        </w:rPr>
        <w:t>We compute standard errors based on heteroskedasticity and autocorrelation robust covariance matrix (Newey-West) estimators.  We report one standard deviation confidence bands in our estimated impulse responses.</w:t>
      </w:r>
    </w:p>
    <w:p w14:paraId="3A7D6401" w14:textId="660E1A18" w:rsidR="00B314CE" w:rsidRPr="00961753" w:rsidRDefault="00B314CE" w:rsidP="00E02A38">
      <w:pPr>
        <w:jc w:val="both"/>
        <w:rPr>
          <w:rFonts w:ascii="Cambria" w:hAnsi="Cambria"/>
          <w:sz w:val="24"/>
          <w:szCs w:val="24"/>
        </w:rPr>
      </w:pPr>
    </w:p>
    <w:p w14:paraId="3B6F349C" w14:textId="3E6864EB" w:rsidR="00B314CE" w:rsidRPr="00961753" w:rsidRDefault="00472815" w:rsidP="00E02A38">
      <w:pPr>
        <w:jc w:val="both"/>
        <w:rPr>
          <w:rFonts w:ascii="Cambria" w:hAnsi="Cambria"/>
          <w:b/>
          <w:bCs/>
          <w:sz w:val="28"/>
          <w:szCs w:val="28"/>
        </w:rPr>
      </w:pPr>
      <w:r w:rsidRPr="00961753">
        <w:rPr>
          <w:rFonts w:ascii="Cambria" w:hAnsi="Cambria"/>
          <w:b/>
          <w:bCs/>
          <w:sz w:val="28"/>
          <w:szCs w:val="28"/>
        </w:rPr>
        <w:t xml:space="preserve">3. </w:t>
      </w:r>
      <w:r w:rsidR="00B314CE" w:rsidRPr="00961753">
        <w:rPr>
          <w:rFonts w:ascii="Cambria" w:hAnsi="Cambria"/>
          <w:b/>
          <w:bCs/>
          <w:sz w:val="28"/>
          <w:szCs w:val="28"/>
        </w:rPr>
        <w:t>Data</w:t>
      </w:r>
    </w:p>
    <w:p w14:paraId="5E68B728" w14:textId="79B09845" w:rsidR="00B314CE" w:rsidRPr="00961753" w:rsidRDefault="00D10487" w:rsidP="00E02A38">
      <w:pPr>
        <w:jc w:val="both"/>
        <w:rPr>
          <w:rFonts w:ascii="Cambria" w:hAnsi="Cambria"/>
          <w:b/>
          <w:bCs/>
          <w:i/>
          <w:sz w:val="24"/>
          <w:szCs w:val="24"/>
        </w:rPr>
      </w:pPr>
      <w:r w:rsidRPr="00961753">
        <w:rPr>
          <w:rFonts w:ascii="Cambria" w:hAnsi="Cambria"/>
          <w:b/>
          <w:bCs/>
          <w:i/>
          <w:sz w:val="24"/>
          <w:szCs w:val="24"/>
        </w:rPr>
        <w:t xml:space="preserve">3.1 </w:t>
      </w:r>
      <w:r w:rsidR="00B314CE" w:rsidRPr="00961753">
        <w:rPr>
          <w:rFonts w:ascii="Cambria" w:hAnsi="Cambria"/>
          <w:b/>
          <w:bCs/>
          <w:i/>
          <w:sz w:val="24"/>
          <w:szCs w:val="24"/>
        </w:rPr>
        <w:t>Indian Macro Data</w:t>
      </w:r>
    </w:p>
    <w:p w14:paraId="3678881F" w14:textId="263E2C95" w:rsidR="00B314CE" w:rsidRPr="009C6CD0" w:rsidRDefault="00B314CE"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We consider the impact of external shocks on industrial production, consumer price index, holdings of foreign reserves, exchange rates, ten-year government bond rate and stock prices. We use the data for nominal exchange rate of INR with respect to US Dollar, stock price index (measured in constant USD), and total foreign </w:t>
      </w:r>
      <w:r w:rsidR="009C6CD0" w:rsidRPr="009C6CD0">
        <w:rPr>
          <w:rFonts w:ascii="Cambria" w:hAnsi="Cambria"/>
          <w:color w:val="000000" w:themeColor="text1"/>
          <w:sz w:val="24"/>
          <w:szCs w:val="24"/>
        </w:rPr>
        <w:t>reserves from</w:t>
      </w:r>
      <w:r w:rsidRPr="009C6CD0">
        <w:rPr>
          <w:rFonts w:ascii="Cambria" w:hAnsi="Cambria"/>
          <w:color w:val="000000" w:themeColor="text1"/>
          <w:sz w:val="24"/>
          <w:szCs w:val="24"/>
        </w:rPr>
        <w:t xml:space="preserve"> the Global Economic Monitor database of the World Bank, and the International Financial Statistics of the IMF. We use Index of Industrial Production (seasonally adjusted) from the OECD database, and obtain non-seasonally-adjusted consumer price index from St Louis Fed's database.</w:t>
      </w:r>
    </w:p>
    <w:p w14:paraId="041FECF2" w14:textId="01121FA7" w:rsidR="00BD1A9E" w:rsidRDefault="00B314CE" w:rsidP="009C6CD0">
      <w:pPr>
        <w:jc w:val="both"/>
        <w:rPr>
          <w:rFonts w:ascii="Cambria" w:hAnsi="Cambria"/>
          <w:color w:val="000000" w:themeColor="text1"/>
          <w:sz w:val="24"/>
          <w:szCs w:val="24"/>
        </w:rPr>
      </w:pPr>
      <w:r w:rsidRPr="009C6CD0">
        <w:rPr>
          <w:rFonts w:ascii="Cambria" w:hAnsi="Cambria"/>
          <w:color w:val="000000" w:themeColor="text1"/>
          <w:sz w:val="24"/>
          <w:szCs w:val="24"/>
        </w:rPr>
        <w:t>Historically, Indian monetary policy has been conducted using multiple instruments: price</w:t>
      </w:r>
      <w:r w:rsidR="00670667" w:rsidRPr="009C6CD0">
        <w:rPr>
          <w:rFonts w:ascii="Cambria" w:hAnsi="Cambria"/>
          <w:color w:val="000000" w:themeColor="text1"/>
          <w:sz w:val="24"/>
          <w:szCs w:val="24"/>
        </w:rPr>
        <w:t>-</w:t>
      </w:r>
      <w:r w:rsidRPr="009C6CD0">
        <w:rPr>
          <w:rFonts w:ascii="Cambria" w:hAnsi="Cambria"/>
          <w:color w:val="000000" w:themeColor="text1"/>
          <w:sz w:val="24"/>
          <w:szCs w:val="24"/>
        </w:rPr>
        <w:t>based and quantity</w:t>
      </w:r>
      <w:r w:rsidR="00317F79" w:rsidRPr="009C6CD0">
        <w:rPr>
          <w:rFonts w:ascii="Cambria" w:hAnsi="Cambria"/>
          <w:color w:val="000000" w:themeColor="text1"/>
          <w:sz w:val="24"/>
          <w:szCs w:val="24"/>
        </w:rPr>
        <w:t>-</w:t>
      </w:r>
      <w:r w:rsidRPr="009C6CD0">
        <w:rPr>
          <w:rFonts w:ascii="Cambria" w:hAnsi="Cambria"/>
          <w:color w:val="000000" w:themeColor="text1"/>
          <w:sz w:val="24"/>
          <w:szCs w:val="24"/>
        </w:rPr>
        <w:t>based. Starting from 3rd April, 2001 the RBI used the repo-rate as the price-based instrument. for the preceding years, we follow the BIS in using the bank rate as the price-based policy instrument. Quantity based instruments such as the Cash Reserve Ratio (CRR) and Statutory Liquidity Ratio (SLR) have also been used regularly. Nonetheless, we measure the overall stance of monetary policy using the price-based instruments.</w:t>
      </w:r>
      <w:r w:rsidR="00AF32BE" w:rsidRPr="009C6CD0">
        <w:rPr>
          <w:rStyle w:val="FootnoteReference"/>
          <w:rFonts w:ascii="Cambria" w:hAnsi="Cambria"/>
          <w:color w:val="000000" w:themeColor="text1"/>
          <w:sz w:val="24"/>
          <w:szCs w:val="24"/>
        </w:rPr>
        <w:footnoteReference w:id="3"/>
      </w:r>
      <w:r w:rsidR="00AF32BE" w:rsidRPr="009C6CD0">
        <w:rPr>
          <w:rFonts w:ascii="Cambria" w:hAnsi="Cambria"/>
          <w:color w:val="000000" w:themeColor="text1"/>
          <w:sz w:val="24"/>
          <w:szCs w:val="24"/>
        </w:rPr>
        <w:t xml:space="preserve"> </w:t>
      </w:r>
      <w:r w:rsidRPr="009C6CD0">
        <w:rPr>
          <w:rFonts w:ascii="Cambria" w:hAnsi="Cambria"/>
          <w:color w:val="000000" w:themeColor="text1"/>
          <w:sz w:val="24"/>
          <w:szCs w:val="24"/>
        </w:rPr>
        <w:t xml:space="preserve"> In the main text, we only report the impulse responses for </w:t>
      </w:r>
      <w:r w:rsidR="00443710" w:rsidRPr="009C6CD0">
        <w:rPr>
          <w:rFonts w:ascii="Cambria" w:hAnsi="Cambria"/>
          <w:color w:val="000000" w:themeColor="text1"/>
          <w:sz w:val="24"/>
          <w:szCs w:val="24"/>
        </w:rPr>
        <w:t>ten-year</w:t>
      </w:r>
      <w:r w:rsidRPr="009C6CD0">
        <w:rPr>
          <w:rFonts w:ascii="Cambria" w:hAnsi="Cambria"/>
          <w:color w:val="000000" w:themeColor="text1"/>
          <w:sz w:val="24"/>
          <w:szCs w:val="24"/>
        </w:rPr>
        <w:t xml:space="preserve"> government bond rate. Data for this series is available for the longest duration and exhibits considerable time-variation relative to short-term interest rate set by the RBI, as shown in F</w:t>
      </w:r>
      <w:r w:rsidR="0058416C" w:rsidRPr="009C6CD0">
        <w:rPr>
          <w:rFonts w:ascii="Cambria" w:hAnsi="Cambria"/>
          <w:color w:val="000000" w:themeColor="text1"/>
          <w:sz w:val="24"/>
          <w:szCs w:val="24"/>
        </w:rPr>
        <w:t>IGURE</w:t>
      </w:r>
      <w:r w:rsidRPr="009C6CD0">
        <w:rPr>
          <w:rFonts w:ascii="Cambria" w:hAnsi="Cambria"/>
          <w:color w:val="000000" w:themeColor="text1"/>
          <w:sz w:val="24"/>
          <w:szCs w:val="24"/>
        </w:rPr>
        <w:t xml:space="preserve"> </w:t>
      </w:r>
      <w:r w:rsidR="00291168" w:rsidRPr="009C6CD0">
        <w:rPr>
          <w:rFonts w:ascii="Cambria" w:hAnsi="Cambria"/>
          <w:color w:val="000000" w:themeColor="text1"/>
          <w:sz w:val="24"/>
          <w:szCs w:val="24"/>
        </w:rPr>
        <w:t>1</w:t>
      </w:r>
      <w:r w:rsidR="009B3B0D" w:rsidRPr="009C6CD0">
        <w:rPr>
          <w:rFonts w:ascii="Cambria" w:hAnsi="Cambria"/>
          <w:color w:val="000000" w:themeColor="text1"/>
          <w:sz w:val="24"/>
          <w:szCs w:val="24"/>
        </w:rPr>
        <w:t>.</w:t>
      </w:r>
      <w:r w:rsidRPr="009C6CD0">
        <w:rPr>
          <w:rFonts w:ascii="Cambria" w:hAnsi="Cambria"/>
          <w:color w:val="000000" w:themeColor="text1"/>
          <w:sz w:val="24"/>
          <w:szCs w:val="24"/>
        </w:rPr>
        <w:t xml:space="preserve"> Moreover, the RBI uses variety of instruments in its conduct of monetary policy. Market driven variation in the </w:t>
      </w:r>
      <w:r w:rsidR="00782DF7" w:rsidRPr="009C6CD0">
        <w:rPr>
          <w:rFonts w:ascii="Cambria" w:hAnsi="Cambria"/>
          <w:color w:val="000000" w:themeColor="text1"/>
          <w:sz w:val="24"/>
          <w:szCs w:val="24"/>
        </w:rPr>
        <w:lastRenderedPageBreak/>
        <w:t>ten-year</w:t>
      </w:r>
      <w:r w:rsidRPr="009C6CD0">
        <w:rPr>
          <w:rFonts w:ascii="Cambria" w:hAnsi="Cambria"/>
          <w:color w:val="000000" w:themeColor="text1"/>
          <w:sz w:val="24"/>
          <w:szCs w:val="24"/>
        </w:rPr>
        <w:t xml:space="preserve"> bond yields would proxy for variation in other instruments used by the central bank. Impulse responses for other policy indicator variables are available on request. </w:t>
      </w:r>
    </w:p>
    <w:p w14:paraId="52E6C037" w14:textId="07AFC85F" w:rsidR="00BD1A9E" w:rsidRPr="00BD1A9E" w:rsidRDefault="00BD1A9E" w:rsidP="00BD1A9E">
      <w:pPr>
        <w:pStyle w:val="NormalWeb"/>
        <w:rPr>
          <w:rFonts w:ascii="Cambria" w:hAnsi="Cambria"/>
          <w:sz w:val="22"/>
          <w:szCs w:val="22"/>
          <w:highlight w:val="yellow"/>
        </w:rPr>
      </w:pPr>
      <w:r w:rsidRPr="00BD1A9E">
        <w:rPr>
          <w:rFonts w:ascii="Cambria" w:hAnsi="Cambria" w:cs="Helvetica"/>
          <w:color w:val="000000" w:themeColor="text1"/>
          <w:sz w:val="22"/>
          <w:szCs w:val="22"/>
          <w:highlight w:val="yellow"/>
        </w:rPr>
        <w:t>FIGURE 1: I</w:t>
      </w:r>
      <w:r w:rsidRPr="00BD1A9E">
        <w:rPr>
          <w:rFonts w:ascii="Cambria" w:hAnsi="Cambria"/>
          <w:sz w:val="22"/>
          <w:szCs w:val="22"/>
          <w:highlight w:val="yellow"/>
        </w:rPr>
        <w:t xml:space="preserve">nterest rates: Repo and 10-year G-Sec </w:t>
      </w:r>
    </w:p>
    <w:p w14:paraId="7968E574" w14:textId="79C4A30B" w:rsidR="00BD1A9E" w:rsidRPr="00BD1A9E" w:rsidRDefault="00BD1A9E" w:rsidP="00BD1A9E">
      <w:pPr>
        <w:pStyle w:val="NormalWeb"/>
        <w:jc w:val="both"/>
        <w:rPr>
          <w:rFonts w:ascii="Cambria" w:hAnsi="Cambria"/>
          <w:color w:val="000000" w:themeColor="text1"/>
          <w:sz w:val="22"/>
          <w:szCs w:val="22"/>
          <w:highlight w:val="yellow"/>
        </w:rPr>
      </w:pPr>
      <w:r w:rsidRPr="00BD1A9E">
        <w:rPr>
          <w:rFonts w:ascii="Cambria" w:hAnsi="Cambria" w:cs="Helvetica"/>
          <w:color w:val="000000" w:themeColor="text1"/>
          <w:sz w:val="22"/>
          <w:szCs w:val="22"/>
          <w:highlight w:val="yellow"/>
        </w:rPr>
        <w:t xml:space="preserve">INSERT FIGURE 1 HERE </w:t>
      </w:r>
    </w:p>
    <w:p w14:paraId="22773987" w14:textId="63CBF12D" w:rsidR="00BD1A9E" w:rsidRPr="00BD1A9E" w:rsidRDefault="00BD1A9E" w:rsidP="00BD1A9E">
      <w:pPr>
        <w:pStyle w:val="NormalWeb"/>
        <w:rPr>
          <w:rFonts w:ascii="Cambria" w:hAnsi="Cambria"/>
          <w:sz w:val="20"/>
          <w:szCs w:val="20"/>
        </w:rPr>
      </w:pPr>
      <w:r w:rsidRPr="00BD1A9E">
        <w:rPr>
          <w:rFonts w:ascii="Cambria" w:hAnsi="Cambria" w:cs="Helvetica"/>
          <w:i/>
          <w:color w:val="000000" w:themeColor="text1"/>
          <w:sz w:val="20"/>
          <w:szCs w:val="20"/>
          <w:highlight w:val="yellow"/>
        </w:rPr>
        <w:t>Notes:</w:t>
      </w:r>
      <w:r w:rsidRPr="00BD1A9E">
        <w:rPr>
          <w:rFonts w:ascii="Cambria" w:hAnsi="Cambria" w:cs="Helvetica"/>
          <w:color w:val="000000" w:themeColor="text1"/>
          <w:sz w:val="20"/>
          <w:szCs w:val="20"/>
          <w:highlight w:val="yellow"/>
        </w:rPr>
        <w:t xml:space="preserve"> </w:t>
      </w:r>
      <w:r w:rsidRPr="00BD1A9E">
        <w:rPr>
          <w:rFonts w:ascii="Cambria" w:hAnsi="Cambria"/>
          <w:sz w:val="20"/>
          <w:szCs w:val="20"/>
          <w:highlight w:val="yellow"/>
        </w:rPr>
        <w:t>This figure compares the evolution of repo rate with interest rate on the ten-year bonds issued by the government of India. The sources for data series are described in the text. Sample: February 1996 - December 2018. See text for details.</w:t>
      </w:r>
      <w:r w:rsidRPr="00BD1A9E">
        <w:rPr>
          <w:rFonts w:ascii="Cambria" w:hAnsi="Cambria"/>
          <w:sz w:val="20"/>
          <w:szCs w:val="20"/>
        </w:rPr>
        <w:t xml:space="preserve"> </w:t>
      </w:r>
    </w:p>
    <w:p w14:paraId="460BF9EA" w14:textId="37906889" w:rsidR="00B314CE" w:rsidRPr="009C6CD0" w:rsidRDefault="00B314CE" w:rsidP="009C6CD0">
      <w:pPr>
        <w:jc w:val="both"/>
        <w:rPr>
          <w:rFonts w:ascii="Cambria" w:hAnsi="Cambria"/>
          <w:color w:val="000000" w:themeColor="text1"/>
          <w:sz w:val="24"/>
          <w:szCs w:val="24"/>
        </w:rPr>
      </w:pPr>
      <w:r w:rsidRPr="009C6CD0">
        <w:rPr>
          <w:rFonts w:ascii="Cambria" w:hAnsi="Cambria"/>
          <w:color w:val="000000" w:themeColor="text1"/>
          <w:sz w:val="24"/>
          <w:szCs w:val="24"/>
        </w:rPr>
        <w:t>We also looked at the responses of nominal and real effective exchange rates. The results are similar to the USD/INR nominal exchange rate. The data for these series came from the Global Economic Monitor database of the World Bank, and the International Financial Statistics of the IMF.</w:t>
      </w:r>
    </w:p>
    <w:p w14:paraId="1B2D5756" w14:textId="7764420A" w:rsidR="000B1EAA" w:rsidRPr="009C6CD0" w:rsidRDefault="006C7B7F" w:rsidP="009C6CD0">
      <w:pPr>
        <w:jc w:val="both"/>
        <w:rPr>
          <w:rFonts w:ascii="Cambria" w:hAnsi="Cambria"/>
          <w:color w:val="000000" w:themeColor="text1"/>
          <w:sz w:val="24"/>
          <w:szCs w:val="24"/>
        </w:rPr>
      </w:pPr>
      <w:r w:rsidRPr="009C6CD0">
        <w:rPr>
          <w:rFonts w:ascii="Cambria" w:hAnsi="Cambria"/>
          <w:color w:val="000000" w:themeColor="text1"/>
          <w:sz w:val="24"/>
          <w:szCs w:val="24"/>
        </w:rPr>
        <w:t>Next, we</w:t>
      </w:r>
      <w:r w:rsidR="00612EA8" w:rsidRPr="009C6CD0">
        <w:rPr>
          <w:rFonts w:ascii="Cambria" w:hAnsi="Cambria"/>
          <w:color w:val="000000" w:themeColor="text1"/>
          <w:sz w:val="24"/>
          <w:szCs w:val="24"/>
        </w:rPr>
        <w:t xml:space="preserve"> provide the details for our four baseline shock measures that we use in the analysis.</w:t>
      </w:r>
    </w:p>
    <w:p w14:paraId="357C4071" w14:textId="6358329C" w:rsidR="000B1EAA" w:rsidRPr="00327766" w:rsidRDefault="000B1EAA" w:rsidP="009C6CD0">
      <w:pPr>
        <w:jc w:val="both"/>
        <w:rPr>
          <w:rFonts w:ascii="Cambria" w:hAnsi="Cambria"/>
          <w:b/>
          <w:bCs/>
          <w:i/>
          <w:color w:val="000000" w:themeColor="text1"/>
          <w:sz w:val="24"/>
          <w:szCs w:val="24"/>
        </w:rPr>
      </w:pPr>
      <w:r w:rsidRPr="00327766">
        <w:rPr>
          <w:rFonts w:ascii="Cambria" w:hAnsi="Cambria"/>
          <w:b/>
          <w:bCs/>
          <w:i/>
          <w:color w:val="000000" w:themeColor="text1"/>
          <w:sz w:val="24"/>
          <w:szCs w:val="24"/>
        </w:rPr>
        <w:t xml:space="preserve">3.2 </w:t>
      </w:r>
      <w:r w:rsidRPr="00327766">
        <w:rPr>
          <w:rFonts w:ascii="Cambria" w:hAnsi="Cambria"/>
          <w:b/>
          <w:i/>
          <w:color w:val="000000" w:themeColor="text1"/>
          <w:sz w:val="24"/>
          <w:szCs w:val="24"/>
        </w:rPr>
        <w:t>U.S. Monetary Policy Shocks</w:t>
      </w:r>
    </w:p>
    <w:p w14:paraId="60DC2C3C" w14:textId="1EDB0A76" w:rsidR="00E64F49" w:rsidRDefault="00612EA8" w:rsidP="009C6CD0">
      <w:pPr>
        <w:pStyle w:val="NormalWeb"/>
        <w:jc w:val="both"/>
        <w:rPr>
          <w:rFonts w:ascii="Cambria" w:hAnsi="Cambria"/>
          <w:color w:val="000000" w:themeColor="text1"/>
        </w:rPr>
      </w:pPr>
      <w:r w:rsidRPr="009C6CD0">
        <w:rPr>
          <w:rFonts w:ascii="Cambria" w:hAnsi="Cambria"/>
          <w:color w:val="000000" w:themeColor="text1"/>
        </w:rPr>
        <w:t xml:space="preserve">For measuring exogenous changes in the stance of US monetary policy we follow the external instruments (proxy-SVAR) strategy developed in </w:t>
      </w:r>
      <w:r w:rsidR="00925DA3" w:rsidRPr="009C6CD0">
        <w:rPr>
          <w:rFonts w:ascii="Cambria" w:hAnsi="Cambria"/>
          <w:color w:val="000000" w:themeColor="text1"/>
        </w:rPr>
        <w:t xml:space="preserve">Mertens &amp; </w:t>
      </w:r>
      <w:proofErr w:type="spellStart"/>
      <w:r w:rsidR="00925DA3" w:rsidRPr="009C6CD0">
        <w:rPr>
          <w:rFonts w:ascii="Cambria" w:hAnsi="Cambria"/>
          <w:color w:val="000000" w:themeColor="text1"/>
        </w:rPr>
        <w:t>Ravn</w:t>
      </w:r>
      <w:proofErr w:type="spellEnd"/>
      <w:r w:rsidR="00925DA3" w:rsidRPr="009C6CD0">
        <w:rPr>
          <w:rFonts w:ascii="Cambria" w:hAnsi="Cambria"/>
          <w:color w:val="000000" w:themeColor="text1"/>
        </w:rPr>
        <w:t xml:space="preserve"> (2013) and Stock &amp; Watson (2002)</w:t>
      </w:r>
      <w:r w:rsidRPr="009C6CD0">
        <w:rPr>
          <w:rFonts w:ascii="Cambria" w:hAnsi="Cambria"/>
          <w:color w:val="000000" w:themeColor="text1"/>
        </w:rPr>
        <w:t xml:space="preserve">.  This methodology involves finding instruments that are correlated with the structural shock of interest (US monetary policy shock here) but uncorrelated with the other structural shocks.  We follow the work of </w:t>
      </w:r>
      <w:r w:rsidR="00166B17" w:rsidRPr="009C6CD0">
        <w:rPr>
          <w:rFonts w:ascii="Cambria" w:hAnsi="Cambria"/>
          <w:color w:val="000000" w:themeColor="text1"/>
        </w:rPr>
        <w:t xml:space="preserve">Gertler &amp; Karadi (2015) </w:t>
      </w:r>
      <w:r w:rsidRPr="009C6CD0">
        <w:rPr>
          <w:rFonts w:ascii="Cambria" w:hAnsi="Cambria"/>
          <w:color w:val="000000" w:themeColor="text1"/>
        </w:rPr>
        <w:t xml:space="preserve">and use changes in futures contracts in a narrow window around FOMC announcements as instruments to identify a structural US monetary policy shock within a standard SVAR. We use both federal funds futures and </w:t>
      </w:r>
      <w:r w:rsidR="00EA27FE" w:rsidRPr="009C6CD0">
        <w:rPr>
          <w:rFonts w:ascii="Cambria" w:hAnsi="Cambria"/>
          <w:color w:val="000000" w:themeColor="text1"/>
        </w:rPr>
        <w:t>Eurodollar</w:t>
      </w:r>
      <w:r w:rsidRPr="009C6CD0">
        <w:rPr>
          <w:rFonts w:ascii="Cambria" w:hAnsi="Cambria"/>
          <w:color w:val="000000" w:themeColor="text1"/>
        </w:rPr>
        <w:t xml:space="preserve"> futures contracts.  </w:t>
      </w:r>
      <w:r w:rsidR="00EA27FE" w:rsidRPr="009C6CD0">
        <w:rPr>
          <w:rFonts w:ascii="Cambria" w:hAnsi="Cambria"/>
          <w:color w:val="000000" w:themeColor="text1"/>
        </w:rPr>
        <w:t>Specifically,</w:t>
      </w:r>
      <w:r w:rsidRPr="009C6CD0">
        <w:rPr>
          <w:rFonts w:ascii="Cambria" w:hAnsi="Cambria"/>
          <w:color w:val="000000" w:themeColor="text1"/>
        </w:rPr>
        <w:t xml:space="preserve"> we use the current month's and next month's fed funds futures contracts and the 2, 3 and 4 quarter ahead </w:t>
      </w:r>
      <w:r w:rsidR="00EA27FE" w:rsidRPr="009C6CD0">
        <w:rPr>
          <w:rFonts w:ascii="Cambria" w:hAnsi="Cambria"/>
          <w:color w:val="000000" w:themeColor="text1"/>
        </w:rPr>
        <w:t>Eurodollar</w:t>
      </w:r>
      <w:r w:rsidRPr="009C6CD0">
        <w:rPr>
          <w:rFonts w:ascii="Cambria" w:hAnsi="Cambria"/>
          <w:color w:val="000000" w:themeColor="text1"/>
        </w:rPr>
        <w:t xml:space="preserve"> futures contracts. Following </w:t>
      </w:r>
      <w:r w:rsidR="007B77B8" w:rsidRPr="009C6CD0">
        <w:rPr>
          <w:rFonts w:ascii="Cambria" w:hAnsi="Cambria"/>
          <w:color w:val="000000" w:themeColor="text1"/>
        </w:rPr>
        <w:t xml:space="preserve">Nakamura &amp; </w:t>
      </w:r>
      <w:proofErr w:type="spellStart"/>
      <w:r w:rsidR="007B77B8" w:rsidRPr="009C6CD0">
        <w:rPr>
          <w:rFonts w:ascii="Cambria" w:hAnsi="Cambria"/>
          <w:color w:val="000000" w:themeColor="text1"/>
        </w:rPr>
        <w:t>Steinsson</w:t>
      </w:r>
      <w:proofErr w:type="spellEnd"/>
      <w:r w:rsidR="007B77B8" w:rsidRPr="009C6CD0">
        <w:rPr>
          <w:rFonts w:ascii="Cambria" w:hAnsi="Cambria"/>
          <w:color w:val="000000" w:themeColor="text1"/>
        </w:rPr>
        <w:t xml:space="preserve"> (2018) </w:t>
      </w:r>
      <w:r w:rsidRPr="009C6CD0">
        <w:rPr>
          <w:rFonts w:ascii="Cambria" w:hAnsi="Cambria"/>
          <w:color w:val="000000" w:themeColor="text1"/>
        </w:rPr>
        <w:t xml:space="preserve">we take the first principal component of the change in these contracts in a </w:t>
      </w:r>
      <w:r w:rsidR="001E7725" w:rsidRPr="009C6CD0">
        <w:rPr>
          <w:rFonts w:ascii="Cambria" w:hAnsi="Cambria"/>
          <w:color w:val="000000" w:themeColor="text1"/>
        </w:rPr>
        <w:t>thirty-minute</w:t>
      </w:r>
      <w:r w:rsidRPr="009C6CD0">
        <w:rPr>
          <w:rFonts w:ascii="Cambria" w:hAnsi="Cambria"/>
          <w:color w:val="000000" w:themeColor="text1"/>
        </w:rPr>
        <w:t xml:space="preserve"> window around the FOMC announcement.  Recent work in the literature has highlighted a potential issue with this approach by finding counterintuitive effects of monetary policy shocks based on information effects, see for example </w:t>
      </w:r>
      <w:r w:rsidR="00AA1F2E" w:rsidRPr="009C6CD0">
        <w:rPr>
          <w:rFonts w:ascii="Cambria" w:hAnsi="Cambria"/>
          <w:color w:val="000000" w:themeColor="text1"/>
        </w:rPr>
        <w:t xml:space="preserve">Nakamura &amp; </w:t>
      </w:r>
      <w:proofErr w:type="spellStart"/>
      <w:r w:rsidR="00AA1F2E" w:rsidRPr="009C6CD0">
        <w:rPr>
          <w:rFonts w:ascii="Cambria" w:hAnsi="Cambria"/>
          <w:color w:val="000000" w:themeColor="text1"/>
        </w:rPr>
        <w:t>Steinsson</w:t>
      </w:r>
      <w:proofErr w:type="spellEnd"/>
      <w:r w:rsidR="00AA1F2E" w:rsidRPr="009C6CD0">
        <w:rPr>
          <w:rFonts w:ascii="Cambria" w:hAnsi="Cambria"/>
          <w:color w:val="000000" w:themeColor="text1"/>
        </w:rPr>
        <w:t xml:space="preserve"> (2018) and Lakdawala (forthcoming)</w:t>
      </w:r>
      <w:r w:rsidRPr="009C6CD0">
        <w:rPr>
          <w:rFonts w:ascii="Cambria" w:hAnsi="Cambria"/>
          <w:color w:val="000000" w:themeColor="text1"/>
        </w:rPr>
        <w:t>.  To overcome this problem, we undertake two steps.  First, we cleanse the instrument from information effects using real GDP forecasts from market-based measure of survey forecasts (</w:t>
      </w:r>
      <w:r w:rsidRPr="00A4465D">
        <w:rPr>
          <w:rFonts w:ascii="Cambria" w:hAnsi="Cambria"/>
          <w:i/>
          <w:color w:val="000000" w:themeColor="text1"/>
        </w:rPr>
        <w:t>Blue Chip</w:t>
      </w:r>
      <w:r w:rsidRPr="009C6CD0">
        <w:rPr>
          <w:rFonts w:ascii="Cambria" w:hAnsi="Cambria"/>
          <w:color w:val="000000" w:themeColor="text1"/>
        </w:rPr>
        <w:t xml:space="preserve">).  </w:t>
      </w:r>
      <w:r w:rsidR="00CA23D0" w:rsidRPr="009C6CD0">
        <w:rPr>
          <w:rFonts w:ascii="Cambria" w:hAnsi="Cambria"/>
          <w:color w:val="000000" w:themeColor="text1"/>
        </w:rPr>
        <w:t>Specifically,</w:t>
      </w:r>
      <w:r w:rsidRPr="009C6CD0">
        <w:rPr>
          <w:rFonts w:ascii="Cambria" w:hAnsi="Cambria"/>
          <w:color w:val="000000" w:themeColor="text1"/>
        </w:rPr>
        <w:t xml:space="preserve"> we regress the instrument on four lags of itself, the </w:t>
      </w:r>
      <w:proofErr w:type="gramStart"/>
      <w:r w:rsidR="001E7725" w:rsidRPr="0099485E">
        <w:rPr>
          <w:rFonts w:ascii="Cambria" w:hAnsi="Cambria"/>
          <w:i/>
          <w:color w:val="000000" w:themeColor="text1"/>
        </w:rPr>
        <w:t>Blue Chip</w:t>
      </w:r>
      <w:proofErr w:type="gramEnd"/>
      <w:r w:rsidRPr="009C6CD0">
        <w:rPr>
          <w:rFonts w:ascii="Cambria" w:hAnsi="Cambria"/>
          <w:color w:val="000000" w:themeColor="text1"/>
        </w:rPr>
        <w:t xml:space="preserve"> real GDP forecast for the previous quarter, current quarter, next quarter, two quarters ahead and three quarters ahead.  </w:t>
      </w:r>
      <w:r w:rsidR="00174C0D" w:rsidRPr="009C6CD0">
        <w:rPr>
          <w:rFonts w:ascii="Cambria" w:hAnsi="Cambria"/>
          <w:color w:val="000000" w:themeColor="text1"/>
        </w:rPr>
        <w:t>Second,</w:t>
      </w:r>
      <w:r w:rsidRPr="009C6CD0">
        <w:rPr>
          <w:rFonts w:ascii="Cambria" w:hAnsi="Cambria"/>
          <w:color w:val="000000" w:themeColor="text1"/>
        </w:rPr>
        <w:t xml:space="preserve"> we use this instrument to estimate the SVAR model of </w:t>
      </w:r>
      <w:r w:rsidR="007B2229" w:rsidRPr="009C6CD0">
        <w:rPr>
          <w:rFonts w:ascii="Cambria" w:hAnsi="Cambria"/>
          <w:color w:val="000000" w:themeColor="text1"/>
        </w:rPr>
        <w:t xml:space="preserve">Gertler &amp; Karadi (2015) </w:t>
      </w:r>
      <w:r w:rsidRPr="009C6CD0">
        <w:rPr>
          <w:rFonts w:ascii="Cambria" w:hAnsi="Cambria"/>
          <w:color w:val="000000" w:themeColor="text1"/>
        </w:rPr>
        <w:t xml:space="preserve">and then use the estimated structural shocks from this SVAR as our baseline measure of monetary policy shocks.  This approach ensures that the information contained in the survey forecasts and in the SVAR </w:t>
      </w:r>
      <w:r w:rsidR="006F764C" w:rsidRPr="009C6CD0">
        <w:rPr>
          <w:rFonts w:ascii="Cambria" w:hAnsi="Cambria"/>
          <w:color w:val="000000" w:themeColor="text1"/>
        </w:rPr>
        <w:t>considers</w:t>
      </w:r>
      <w:r w:rsidRPr="009C6CD0">
        <w:rPr>
          <w:rFonts w:ascii="Cambria" w:hAnsi="Cambria"/>
          <w:color w:val="000000" w:themeColor="text1"/>
        </w:rPr>
        <w:t xml:space="preserve"> any predictability and information effects.  Specifically, the SVAR model that we use for the US includes monthly data on industrial production, CPI price index, the excess bond premium of </w:t>
      </w:r>
      <w:r w:rsidR="00007A04" w:rsidRPr="009C6CD0">
        <w:rPr>
          <w:rFonts w:ascii="Cambria" w:hAnsi="Cambria"/>
          <w:color w:val="000000" w:themeColor="text1"/>
        </w:rPr>
        <w:t xml:space="preserve">Gilchrist &amp; </w:t>
      </w:r>
      <w:proofErr w:type="spellStart"/>
      <w:r w:rsidR="00007A04" w:rsidRPr="009C6CD0">
        <w:rPr>
          <w:rFonts w:ascii="Cambria" w:hAnsi="Cambria"/>
          <w:color w:val="000000" w:themeColor="text1"/>
        </w:rPr>
        <w:t>Zakrajek</w:t>
      </w:r>
      <w:proofErr w:type="spellEnd"/>
      <w:r w:rsidR="00007A04" w:rsidRPr="009C6CD0">
        <w:rPr>
          <w:rFonts w:ascii="Cambria" w:hAnsi="Cambria"/>
          <w:color w:val="000000" w:themeColor="text1"/>
        </w:rPr>
        <w:t xml:space="preserve"> (2012) </w:t>
      </w:r>
      <w:r w:rsidRPr="009C6CD0">
        <w:rPr>
          <w:rFonts w:ascii="Cambria" w:hAnsi="Cambria"/>
          <w:color w:val="000000" w:themeColor="text1"/>
        </w:rPr>
        <w:t xml:space="preserve">and the </w:t>
      </w:r>
      <w:r w:rsidR="00174C0D" w:rsidRPr="009C6CD0">
        <w:rPr>
          <w:rFonts w:ascii="Cambria" w:hAnsi="Cambria"/>
          <w:color w:val="000000" w:themeColor="text1"/>
        </w:rPr>
        <w:t>1-year</w:t>
      </w:r>
      <w:r w:rsidRPr="009C6CD0">
        <w:rPr>
          <w:rFonts w:ascii="Cambria" w:hAnsi="Cambria"/>
          <w:color w:val="000000" w:themeColor="text1"/>
        </w:rPr>
        <w:t xml:space="preserve"> Treasury rate as the monetary policy tool.  The estimated monetary policy shock is plotted in the top left panel of </w:t>
      </w:r>
      <w:r w:rsidR="00761B9D" w:rsidRPr="009C6CD0">
        <w:rPr>
          <w:rFonts w:ascii="Cambria" w:hAnsi="Cambria"/>
          <w:color w:val="000000" w:themeColor="text1"/>
        </w:rPr>
        <w:t>FIGURE 2</w:t>
      </w:r>
      <w:r w:rsidR="000841FB" w:rsidRPr="009C6CD0">
        <w:rPr>
          <w:rFonts w:ascii="Cambria" w:hAnsi="Cambria"/>
          <w:color w:val="000000" w:themeColor="text1"/>
        </w:rPr>
        <w:t>.</w:t>
      </w:r>
    </w:p>
    <w:p w14:paraId="26DE2047" w14:textId="39DA77B5" w:rsidR="00E64F49" w:rsidRPr="003A331A" w:rsidRDefault="00E64F49" w:rsidP="00E64F49">
      <w:pPr>
        <w:pStyle w:val="NormalWeb"/>
        <w:rPr>
          <w:rFonts w:ascii="Cambria" w:hAnsi="Cambria"/>
          <w:sz w:val="22"/>
          <w:szCs w:val="22"/>
          <w:highlight w:val="yellow"/>
        </w:rPr>
      </w:pPr>
      <w:r w:rsidRPr="003A331A">
        <w:rPr>
          <w:rFonts w:ascii="Cambria" w:hAnsi="Cambria" w:cs="Helvetica"/>
          <w:color w:val="000000" w:themeColor="text1"/>
          <w:sz w:val="22"/>
          <w:szCs w:val="22"/>
          <w:highlight w:val="yellow"/>
        </w:rPr>
        <w:lastRenderedPageBreak/>
        <w:t xml:space="preserve">FIGURE </w:t>
      </w:r>
      <w:r w:rsidRPr="003A331A">
        <w:rPr>
          <w:rFonts w:ascii="Cambria" w:hAnsi="Cambria"/>
          <w:sz w:val="22"/>
          <w:szCs w:val="22"/>
          <w:highlight w:val="yellow"/>
        </w:rPr>
        <w:t xml:space="preserve">2: Foreign Shocks </w:t>
      </w:r>
    </w:p>
    <w:p w14:paraId="3288FFE3" w14:textId="63416815" w:rsidR="00E64F49" w:rsidRPr="003A331A" w:rsidRDefault="00E64F49" w:rsidP="00E64F49">
      <w:pPr>
        <w:pStyle w:val="NormalWeb"/>
        <w:jc w:val="both"/>
        <w:rPr>
          <w:rFonts w:ascii="Cambria" w:hAnsi="Cambria"/>
          <w:color w:val="000000" w:themeColor="text1"/>
          <w:sz w:val="22"/>
          <w:szCs w:val="22"/>
          <w:highlight w:val="yellow"/>
        </w:rPr>
      </w:pPr>
      <w:r w:rsidRPr="003A331A">
        <w:rPr>
          <w:rFonts w:ascii="Cambria" w:hAnsi="Cambria" w:cs="Helvetica"/>
          <w:color w:val="000000" w:themeColor="text1"/>
          <w:sz w:val="22"/>
          <w:szCs w:val="22"/>
          <w:highlight w:val="yellow"/>
        </w:rPr>
        <w:t xml:space="preserve">INSERT FIGURE 2 HERE </w:t>
      </w:r>
    </w:p>
    <w:p w14:paraId="22580C57" w14:textId="1D50F141" w:rsidR="00E64F49" w:rsidRPr="00E64F49" w:rsidRDefault="00E64F49" w:rsidP="00E64F49">
      <w:pPr>
        <w:pStyle w:val="NormalWeb"/>
        <w:rPr>
          <w:rFonts w:ascii="Cambria" w:hAnsi="Cambria"/>
        </w:rPr>
      </w:pPr>
      <w:r w:rsidRPr="003A331A">
        <w:rPr>
          <w:rFonts w:ascii="Cambria" w:hAnsi="Cambria" w:cs="Helvetica"/>
          <w:i/>
          <w:color w:val="000000" w:themeColor="text1"/>
          <w:sz w:val="20"/>
          <w:szCs w:val="20"/>
          <w:highlight w:val="yellow"/>
        </w:rPr>
        <w:t>Notes:</w:t>
      </w:r>
      <w:r w:rsidRPr="003A331A">
        <w:rPr>
          <w:rFonts w:ascii="Cambria" w:hAnsi="Cambria" w:cs="Helvetica"/>
          <w:color w:val="000000" w:themeColor="text1"/>
          <w:sz w:val="20"/>
          <w:szCs w:val="20"/>
          <w:highlight w:val="yellow"/>
        </w:rPr>
        <w:t xml:space="preserve"> </w:t>
      </w:r>
      <w:r w:rsidRPr="003A331A">
        <w:rPr>
          <w:rFonts w:ascii="Cambria" w:hAnsi="Cambria"/>
          <w:sz w:val="20"/>
          <w:szCs w:val="20"/>
          <w:highlight w:val="yellow"/>
        </w:rPr>
        <w:t xml:space="preserve">This figure plots the four main shock measures. The sources for data series are described in the text. Sample: February 1994 - December 2017. See text for details. </w:t>
      </w:r>
      <w:r w:rsidRPr="003A331A">
        <w:rPr>
          <w:rFonts w:ascii="Cambria" w:hAnsi="Cambria"/>
          <w:i/>
          <w:iCs/>
          <w:sz w:val="20"/>
          <w:szCs w:val="20"/>
          <w:highlight w:val="yellow"/>
        </w:rPr>
        <w:t>Authors’ own calculations</w:t>
      </w:r>
      <w:r w:rsidRPr="003A331A">
        <w:rPr>
          <w:rFonts w:ascii="Cambria" w:hAnsi="Cambria"/>
          <w:sz w:val="20"/>
          <w:szCs w:val="20"/>
          <w:highlight w:val="yellow"/>
        </w:rPr>
        <w:t>.</w:t>
      </w:r>
      <w:r w:rsidRPr="00E64F49">
        <w:rPr>
          <w:rFonts w:ascii="Cambria" w:hAnsi="Cambria"/>
          <w:sz w:val="20"/>
          <w:szCs w:val="20"/>
        </w:rPr>
        <w:t xml:space="preserve"> </w:t>
      </w:r>
    </w:p>
    <w:p w14:paraId="7105D233" w14:textId="74BF52CE" w:rsidR="00612EA8" w:rsidRPr="00E26789" w:rsidRDefault="000841FB" w:rsidP="009C6CD0">
      <w:pPr>
        <w:jc w:val="both"/>
        <w:rPr>
          <w:rFonts w:ascii="Cambria" w:hAnsi="Cambria"/>
          <w:b/>
          <w:i/>
          <w:color w:val="000000" w:themeColor="text1"/>
          <w:sz w:val="24"/>
          <w:szCs w:val="24"/>
        </w:rPr>
      </w:pPr>
      <w:r w:rsidRPr="00E26789">
        <w:rPr>
          <w:rFonts w:ascii="Cambria" w:hAnsi="Cambria"/>
          <w:b/>
          <w:i/>
          <w:color w:val="000000" w:themeColor="text1"/>
          <w:sz w:val="24"/>
          <w:szCs w:val="24"/>
        </w:rPr>
        <w:t xml:space="preserve">3.3 </w:t>
      </w:r>
      <w:r w:rsidR="00612EA8" w:rsidRPr="00E26789">
        <w:rPr>
          <w:rFonts w:ascii="Cambria" w:hAnsi="Cambria"/>
          <w:b/>
          <w:i/>
          <w:color w:val="000000" w:themeColor="text1"/>
          <w:sz w:val="24"/>
          <w:szCs w:val="24"/>
        </w:rPr>
        <w:t>Economic Policy Uncertainty Shocks</w:t>
      </w:r>
    </w:p>
    <w:p w14:paraId="075DE43E" w14:textId="3B83F502" w:rsidR="00612EA8" w:rsidRPr="009C6CD0" w:rsidRDefault="00612EA8" w:rsidP="009C6CD0">
      <w:pPr>
        <w:pStyle w:val="NormalWeb"/>
        <w:jc w:val="both"/>
        <w:rPr>
          <w:rFonts w:ascii="Cambria" w:hAnsi="Cambria"/>
          <w:color w:val="000000" w:themeColor="text1"/>
        </w:rPr>
      </w:pPr>
      <w:r w:rsidRPr="009C6CD0">
        <w:rPr>
          <w:rFonts w:ascii="Cambria" w:hAnsi="Cambria"/>
          <w:color w:val="000000" w:themeColor="text1"/>
        </w:rPr>
        <w:t xml:space="preserve">We will use the measure of </w:t>
      </w:r>
      <w:r w:rsidR="00430699" w:rsidRPr="009C6CD0">
        <w:rPr>
          <w:rFonts w:ascii="Cambria" w:hAnsi="Cambria"/>
          <w:color w:val="000000" w:themeColor="text1"/>
        </w:rPr>
        <w:t xml:space="preserve">Baker et al. (2016) </w:t>
      </w:r>
      <w:r w:rsidRPr="009C6CD0">
        <w:rPr>
          <w:rFonts w:ascii="Cambria" w:hAnsi="Cambria"/>
          <w:color w:val="000000" w:themeColor="text1"/>
        </w:rPr>
        <w:t xml:space="preserve">of economic policy uncertainty (EPU).  This measure is constructed by analyzing newspaper coverage and measuring the relative frequency of words that capture </w:t>
      </w:r>
      <w:r w:rsidR="00A90482" w:rsidRPr="009C6CD0">
        <w:rPr>
          <w:rFonts w:ascii="Cambria" w:hAnsi="Cambria"/>
          <w:color w:val="000000" w:themeColor="text1"/>
        </w:rPr>
        <w:t>“</w:t>
      </w:r>
      <w:r w:rsidR="007E2A26" w:rsidRPr="009C6CD0">
        <w:rPr>
          <w:rFonts w:ascii="Cambria" w:hAnsi="Cambria"/>
          <w:color w:val="000000" w:themeColor="text1"/>
        </w:rPr>
        <w:t>…</w:t>
      </w:r>
      <w:r w:rsidR="00D70342" w:rsidRPr="009C6CD0">
        <w:rPr>
          <w:rFonts w:ascii="Cambria" w:hAnsi="Cambria"/>
          <w:color w:val="000000" w:themeColor="text1"/>
        </w:rPr>
        <w:t xml:space="preserve"> </w:t>
      </w:r>
      <w:r w:rsidRPr="009C6CD0">
        <w:rPr>
          <w:rFonts w:ascii="Cambria" w:hAnsi="Cambria"/>
          <w:color w:val="000000" w:themeColor="text1"/>
        </w:rPr>
        <w:t>a trio of terms pertaining to the economy (E), policy (P) and uncertainty (U).</w:t>
      </w:r>
      <w:r w:rsidR="00BE4045" w:rsidRPr="009C6CD0">
        <w:rPr>
          <w:rFonts w:ascii="Cambria" w:hAnsi="Cambria"/>
          <w:color w:val="000000" w:themeColor="text1"/>
        </w:rPr>
        <w:t>”</w:t>
      </w:r>
      <w:r w:rsidRPr="009C6CD0">
        <w:rPr>
          <w:rFonts w:ascii="Cambria" w:hAnsi="Cambria"/>
          <w:color w:val="000000" w:themeColor="text1"/>
        </w:rPr>
        <w:t xml:space="preserve">  We use the Global EPU variable that captures economic policy uncertainty for 20 major economies.  This measure is plotted in the top right panel of F</w:t>
      </w:r>
      <w:r w:rsidR="00E30BE7" w:rsidRPr="009C6CD0">
        <w:rPr>
          <w:rFonts w:ascii="Cambria" w:hAnsi="Cambria"/>
          <w:color w:val="000000" w:themeColor="text1"/>
        </w:rPr>
        <w:t>IGURE 2</w:t>
      </w:r>
      <w:r w:rsidR="0073715E" w:rsidRPr="009C6CD0">
        <w:rPr>
          <w:rFonts w:ascii="Cambria" w:hAnsi="Cambria"/>
          <w:color w:val="000000" w:themeColor="text1"/>
        </w:rPr>
        <w:t>.</w:t>
      </w:r>
      <w:r w:rsidRPr="009C6CD0">
        <w:rPr>
          <w:rFonts w:ascii="Cambria" w:hAnsi="Cambria"/>
          <w:color w:val="000000" w:themeColor="text1"/>
        </w:rPr>
        <w:t xml:space="preserve">  To identify the dynamic causal effects of changes in economic policy uncertainty </w:t>
      </w:r>
      <w:r w:rsidR="00A642A3" w:rsidRPr="009C6CD0">
        <w:rPr>
          <w:rFonts w:ascii="Cambria" w:hAnsi="Cambria"/>
          <w:color w:val="000000" w:themeColor="text1"/>
        </w:rPr>
        <w:t xml:space="preserve">Baker et al. (2016) </w:t>
      </w:r>
      <w:r w:rsidRPr="009C6CD0">
        <w:rPr>
          <w:rFonts w:ascii="Cambria" w:hAnsi="Cambria"/>
          <w:color w:val="000000" w:themeColor="text1"/>
        </w:rPr>
        <w:t xml:space="preserve">use a SVAR with a Cholesky identification strategy by ordering the EPU index first.  Recent work by </w:t>
      </w:r>
      <w:proofErr w:type="spellStart"/>
      <w:r w:rsidR="00327BFD" w:rsidRPr="009C6CD0">
        <w:rPr>
          <w:rFonts w:ascii="Cambria" w:hAnsi="Cambria"/>
          <w:color w:val="000000" w:themeColor="text1"/>
        </w:rPr>
        <w:t>Carriero</w:t>
      </w:r>
      <w:proofErr w:type="spellEnd"/>
      <w:r w:rsidR="00327BFD" w:rsidRPr="009C6CD0">
        <w:rPr>
          <w:rFonts w:ascii="Cambria" w:hAnsi="Cambria"/>
          <w:color w:val="000000" w:themeColor="text1"/>
        </w:rPr>
        <w:t xml:space="preserve"> et al. (2015) </w:t>
      </w:r>
      <w:r w:rsidRPr="009C6CD0">
        <w:rPr>
          <w:rFonts w:ascii="Cambria" w:hAnsi="Cambria"/>
          <w:color w:val="000000" w:themeColor="text1"/>
        </w:rPr>
        <w:t xml:space="preserve">has pointed out that this approach can lead to attenuation bias due to measurement error.  They advocate using a SVAR approach with external instruments.  This approach has also been used recently by </w:t>
      </w:r>
      <w:r w:rsidR="000E6B2E" w:rsidRPr="009C6CD0">
        <w:rPr>
          <w:rFonts w:ascii="Cambria" w:hAnsi="Cambria"/>
          <w:color w:val="000000" w:themeColor="text1"/>
        </w:rPr>
        <w:t xml:space="preserve">Caballero &amp; </w:t>
      </w:r>
      <w:proofErr w:type="spellStart"/>
      <w:r w:rsidR="000E6B2E" w:rsidRPr="009C6CD0">
        <w:rPr>
          <w:rFonts w:ascii="Cambria" w:hAnsi="Cambria"/>
          <w:color w:val="000000" w:themeColor="text1"/>
        </w:rPr>
        <w:t>Kamber</w:t>
      </w:r>
      <w:proofErr w:type="spellEnd"/>
      <w:r w:rsidR="000E6B2E" w:rsidRPr="009C6CD0">
        <w:rPr>
          <w:rFonts w:ascii="Cambria" w:hAnsi="Cambria"/>
          <w:color w:val="000000" w:themeColor="text1"/>
        </w:rPr>
        <w:t xml:space="preserve"> (2019). </w:t>
      </w:r>
      <w:r w:rsidRPr="009C6CD0">
        <w:rPr>
          <w:rFonts w:ascii="Cambria" w:hAnsi="Cambria"/>
          <w:color w:val="000000" w:themeColor="text1"/>
        </w:rPr>
        <w:t xml:space="preserve">Specifically, we construct a dummy indicator that takes the value one when the EPU index exceeds 1.65 times the unconditional standard deviation of the HP filtered data.  The indicator is also plotted in the top right panel of </w:t>
      </w:r>
      <w:r w:rsidR="00E70CE1" w:rsidRPr="009C6CD0">
        <w:rPr>
          <w:rFonts w:ascii="Cambria" w:hAnsi="Cambria"/>
          <w:color w:val="000000" w:themeColor="text1"/>
        </w:rPr>
        <w:t>FIGURE 2</w:t>
      </w:r>
      <w:r w:rsidRPr="009C6CD0">
        <w:rPr>
          <w:rFonts w:ascii="Cambria" w:hAnsi="Cambria"/>
          <w:color w:val="000000" w:themeColor="text1"/>
        </w:rPr>
        <w:t xml:space="preserve"> (y-axis shown on the right side).  This dummy indicator is used as an instrument for the structural shock to the EPU index in both the SVAR and LP frameworks.</w:t>
      </w:r>
    </w:p>
    <w:p w14:paraId="3809DFC9" w14:textId="77777777" w:rsidR="00612EA8" w:rsidRPr="009C6CD0" w:rsidRDefault="00612EA8" w:rsidP="009C6CD0">
      <w:pPr>
        <w:jc w:val="both"/>
        <w:rPr>
          <w:rFonts w:ascii="Cambria" w:hAnsi="Cambria"/>
          <w:color w:val="000000" w:themeColor="text1"/>
          <w:sz w:val="24"/>
          <w:szCs w:val="24"/>
        </w:rPr>
      </w:pPr>
    </w:p>
    <w:p w14:paraId="6DDB03E0" w14:textId="601FB2B4" w:rsidR="00612EA8" w:rsidRPr="00C86193" w:rsidRDefault="00843F10" w:rsidP="009C6CD0">
      <w:pPr>
        <w:jc w:val="both"/>
        <w:rPr>
          <w:rFonts w:ascii="Cambria" w:hAnsi="Cambria"/>
          <w:b/>
          <w:i/>
          <w:color w:val="000000" w:themeColor="text1"/>
          <w:sz w:val="24"/>
          <w:szCs w:val="24"/>
        </w:rPr>
      </w:pPr>
      <w:r w:rsidRPr="00C86193">
        <w:rPr>
          <w:rFonts w:ascii="Cambria" w:hAnsi="Cambria"/>
          <w:b/>
          <w:i/>
          <w:color w:val="000000" w:themeColor="text1"/>
          <w:sz w:val="24"/>
          <w:szCs w:val="24"/>
        </w:rPr>
        <w:t xml:space="preserve">3.4 </w:t>
      </w:r>
      <w:r w:rsidR="00612EA8" w:rsidRPr="00C86193">
        <w:rPr>
          <w:rFonts w:ascii="Cambria" w:hAnsi="Cambria"/>
          <w:b/>
          <w:i/>
          <w:color w:val="000000" w:themeColor="text1"/>
          <w:sz w:val="24"/>
          <w:szCs w:val="24"/>
        </w:rPr>
        <w:t>Geopolitical Risk Shocks</w:t>
      </w:r>
    </w:p>
    <w:p w14:paraId="06308AC2" w14:textId="73E342F7" w:rsidR="00612EA8" w:rsidRPr="009C6CD0" w:rsidRDefault="00612EA8" w:rsidP="009C6CD0">
      <w:pPr>
        <w:pStyle w:val="NormalWeb"/>
        <w:jc w:val="both"/>
        <w:rPr>
          <w:rFonts w:ascii="Cambria" w:hAnsi="Cambria"/>
          <w:color w:val="000000" w:themeColor="text1"/>
        </w:rPr>
      </w:pPr>
      <w:r w:rsidRPr="009C6CD0">
        <w:rPr>
          <w:rFonts w:ascii="Cambria" w:hAnsi="Cambria"/>
          <w:color w:val="000000" w:themeColor="text1"/>
        </w:rPr>
        <w:t xml:space="preserve">We will use the geopolitical risk measure of </w:t>
      </w:r>
      <w:r w:rsidR="00673886" w:rsidRPr="009C6CD0">
        <w:rPr>
          <w:rFonts w:ascii="Cambria" w:hAnsi="Cambria"/>
          <w:color w:val="000000" w:themeColor="text1"/>
        </w:rPr>
        <w:t xml:space="preserve">Caldara &amp; </w:t>
      </w:r>
      <w:proofErr w:type="spellStart"/>
      <w:r w:rsidR="00673886" w:rsidRPr="009C6CD0">
        <w:rPr>
          <w:rFonts w:ascii="Cambria" w:hAnsi="Cambria"/>
          <w:color w:val="000000" w:themeColor="text1"/>
        </w:rPr>
        <w:t>Iacoviello</w:t>
      </w:r>
      <w:proofErr w:type="spellEnd"/>
      <w:r w:rsidR="00673886" w:rsidRPr="009C6CD0">
        <w:rPr>
          <w:rFonts w:ascii="Cambria" w:hAnsi="Cambria"/>
          <w:color w:val="000000" w:themeColor="text1"/>
        </w:rPr>
        <w:t xml:space="preserve"> (2018). </w:t>
      </w:r>
      <w:r w:rsidRPr="009C6CD0">
        <w:rPr>
          <w:rFonts w:ascii="Cambria" w:hAnsi="Cambria"/>
          <w:color w:val="000000" w:themeColor="text1"/>
        </w:rPr>
        <w:t xml:space="preserve">They use a methodology that is similar to </w:t>
      </w:r>
      <w:r w:rsidR="00D17AE4" w:rsidRPr="009C6CD0">
        <w:rPr>
          <w:rFonts w:ascii="Cambria" w:hAnsi="Cambria"/>
          <w:color w:val="000000" w:themeColor="text1"/>
        </w:rPr>
        <w:t>Baker et al. (2016</w:t>
      </w:r>
      <w:r w:rsidR="00892441" w:rsidRPr="009C6CD0">
        <w:rPr>
          <w:rFonts w:ascii="Cambria" w:hAnsi="Cambria"/>
          <w:color w:val="000000" w:themeColor="text1"/>
        </w:rPr>
        <w:t>) and</w:t>
      </w:r>
      <w:r w:rsidRPr="009C6CD0">
        <w:rPr>
          <w:rFonts w:ascii="Cambria" w:hAnsi="Cambria"/>
          <w:color w:val="000000" w:themeColor="text1"/>
        </w:rPr>
        <w:t xml:space="preserve"> involves counting the frequency of newspaper articles related to geopolitical risk.  They define geopolitical risk as </w:t>
      </w:r>
      <w:r w:rsidR="00481DDC" w:rsidRPr="009C6CD0">
        <w:rPr>
          <w:rFonts w:ascii="Cambria" w:hAnsi="Cambria"/>
          <w:color w:val="000000" w:themeColor="text1"/>
        </w:rPr>
        <w:t>“.</w:t>
      </w:r>
      <w:r w:rsidRPr="009C6CD0">
        <w:rPr>
          <w:rFonts w:ascii="Cambria" w:hAnsi="Cambria"/>
          <w:color w:val="000000" w:themeColor="text1"/>
        </w:rPr>
        <w:t>..</w:t>
      </w:r>
      <w:r w:rsidR="00481DDC" w:rsidRPr="009C6CD0">
        <w:rPr>
          <w:rFonts w:ascii="Cambria" w:hAnsi="Cambria"/>
          <w:color w:val="000000" w:themeColor="text1"/>
        </w:rPr>
        <w:t xml:space="preserve"> </w:t>
      </w:r>
      <w:r w:rsidRPr="009C6CD0">
        <w:rPr>
          <w:rFonts w:ascii="Cambria" w:hAnsi="Cambria"/>
          <w:color w:val="000000" w:themeColor="text1"/>
        </w:rPr>
        <w:t>risk associated with wars, terrorist acts, and tensions between states that affect the normal and peaceful course of international relations.</w:t>
      </w:r>
      <w:r w:rsidR="00F60C40" w:rsidRPr="009C6CD0">
        <w:rPr>
          <w:rFonts w:ascii="Cambria" w:hAnsi="Cambria"/>
          <w:color w:val="000000" w:themeColor="text1"/>
        </w:rPr>
        <w:t>”</w:t>
      </w:r>
      <w:r w:rsidRPr="009C6CD0">
        <w:rPr>
          <w:rFonts w:ascii="Cambria" w:hAnsi="Cambria"/>
          <w:color w:val="000000" w:themeColor="text1"/>
        </w:rPr>
        <w:t xml:space="preserve">  This measure (GPR) reflects both the risk of these adverse events occurring together with the actual realization of these events. </w:t>
      </w:r>
      <w:r w:rsidR="00D70926" w:rsidRPr="009C6CD0">
        <w:rPr>
          <w:rFonts w:ascii="Cambria" w:hAnsi="Cambria"/>
          <w:color w:val="000000" w:themeColor="text1"/>
        </w:rPr>
        <w:t>Again,</w:t>
      </w:r>
      <w:r w:rsidRPr="009C6CD0">
        <w:rPr>
          <w:rFonts w:ascii="Cambria" w:hAnsi="Cambria"/>
          <w:color w:val="000000" w:themeColor="text1"/>
        </w:rPr>
        <w:t xml:space="preserve"> to identify the causal effects of geopolitical risk shocks, </w:t>
      </w:r>
      <w:r w:rsidR="00395369" w:rsidRPr="009C6CD0">
        <w:rPr>
          <w:rFonts w:ascii="Cambria" w:hAnsi="Cambria"/>
          <w:color w:val="000000" w:themeColor="text1"/>
        </w:rPr>
        <w:t xml:space="preserve">Caldara &amp; </w:t>
      </w:r>
      <w:proofErr w:type="spellStart"/>
      <w:r w:rsidR="00395369" w:rsidRPr="009C6CD0">
        <w:rPr>
          <w:rFonts w:ascii="Cambria" w:hAnsi="Cambria"/>
          <w:color w:val="000000" w:themeColor="text1"/>
        </w:rPr>
        <w:t>Iacoviello</w:t>
      </w:r>
      <w:proofErr w:type="spellEnd"/>
      <w:r w:rsidR="00395369" w:rsidRPr="009C6CD0">
        <w:rPr>
          <w:rFonts w:ascii="Cambria" w:hAnsi="Cambria"/>
          <w:color w:val="000000" w:themeColor="text1"/>
        </w:rPr>
        <w:t xml:space="preserve"> (2018) </w:t>
      </w:r>
      <w:r w:rsidRPr="009C6CD0">
        <w:rPr>
          <w:rFonts w:ascii="Cambria" w:hAnsi="Cambria"/>
          <w:color w:val="000000" w:themeColor="text1"/>
        </w:rPr>
        <w:t xml:space="preserve">use a SVAR identified with Cholesky ordering.  Since the same caveat about measurement error and attenuation bias applies, we follow same approach as above to construct a dummy variable.  Both the GPR index (y-axis shown on left) and the dummy indicator (y-axis shown on the right) are plotted on the bottom left panel of </w:t>
      </w:r>
      <w:r w:rsidR="00AF3CBD" w:rsidRPr="009C6CD0">
        <w:rPr>
          <w:rFonts w:ascii="Cambria" w:hAnsi="Cambria"/>
          <w:color w:val="000000" w:themeColor="text1"/>
        </w:rPr>
        <w:t>FIGURE 2</w:t>
      </w:r>
    </w:p>
    <w:p w14:paraId="0F47FAFD" w14:textId="77777777" w:rsidR="00612EA8" w:rsidRPr="009C6CD0" w:rsidRDefault="00612EA8" w:rsidP="009C6CD0">
      <w:pPr>
        <w:jc w:val="both"/>
        <w:rPr>
          <w:rFonts w:ascii="Cambria" w:hAnsi="Cambria"/>
          <w:color w:val="000000" w:themeColor="text1"/>
          <w:sz w:val="24"/>
          <w:szCs w:val="24"/>
        </w:rPr>
      </w:pPr>
    </w:p>
    <w:p w14:paraId="57746C76" w14:textId="2971E68C" w:rsidR="00612EA8" w:rsidRPr="008E56FB" w:rsidRDefault="00843F10" w:rsidP="009C6CD0">
      <w:pPr>
        <w:jc w:val="both"/>
        <w:rPr>
          <w:rFonts w:ascii="Cambria" w:hAnsi="Cambria"/>
          <w:b/>
          <w:i/>
          <w:color w:val="000000" w:themeColor="text1"/>
          <w:sz w:val="24"/>
          <w:szCs w:val="24"/>
        </w:rPr>
      </w:pPr>
      <w:r w:rsidRPr="008E56FB">
        <w:rPr>
          <w:rFonts w:ascii="Cambria" w:hAnsi="Cambria"/>
          <w:b/>
          <w:i/>
          <w:color w:val="000000" w:themeColor="text1"/>
          <w:sz w:val="24"/>
          <w:szCs w:val="24"/>
        </w:rPr>
        <w:t xml:space="preserve">3.5 </w:t>
      </w:r>
      <w:r w:rsidR="00612EA8" w:rsidRPr="008E56FB">
        <w:rPr>
          <w:rFonts w:ascii="Cambria" w:hAnsi="Cambria"/>
          <w:b/>
          <w:i/>
          <w:color w:val="000000" w:themeColor="text1"/>
          <w:sz w:val="24"/>
          <w:szCs w:val="24"/>
        </w:rPr>
        <w:t>Oil Shocks</w:t>
      </w:r>
    </w:p>
    <w:p w14:paraId="45CECF7F" w14:textId="2426EAC1" w:rsidR="00612EA8" w:rsidRPr="009C6CD0" w:rsidRDefault="00612EA8" w:rsidP="009C6CD0">
      <w:pPr>
        <w:pStyle w:val="NormalWeb"/>
        <w:jc w:val="both"/>
        <w:rPr>
          <w:rFonts w:ascii="Cambria" w:hAnsi="Cambria"/>
          <w:color w:val="000000" w:themeColor="text1"/>
        </w:rPr>
      </w:pPr>
      <w:r w:rsidRPr="009C6CD0">
        <w:rPr>
          <w:rFonts w:ascii="Cambria" w:hAnsi="Cambria"/>
          <w:color w:val="000000" w:themeColor="text1"/>
        </w:rPr>
        <w:t xml:space="preserve">Given India's reliance on imported oil, a potentially important source of shocks to the Indian economy involves changes in the price of crude oil. Of course, oil prices dynamics are driven </w:t>
      </w:r>
      <w:r w:rsidRPr="009C6CD0">
        <w:rPr>
          <w:rFonts w:ascii="Cambria" w:hAnsi="Cambria"/>
          <w:color w:val="000000" w:themeColor="text1"/>
        </w:rPr>
        <w:lastRenderedPageBreak/>
        <w:t xml:space="preserve">by shocks to both oil supply and oil demand.  Since India is the third largest consumer of oil (after U.S. and China), oil demand shocks can be expected to be driven in part by changes to India's economic conditions.  On the other hand, India contributes to less than one percent of total world oil production and thus oil supply disruptions originating in India are unlikely to move the global price of oil.  </w:t>
      </w:r>
      <w:r w:rsidR="00CC7C6B" w:rsidRPr="009C6CD0">
        <w:rPr>
          <w:rFonts w:ascii="Cambria" w:hAnsi="Cambria"/>
          <w:color w:val="000000" w:themeColor="text1"/>
        </w:rPr>
        <w:t>Thus,</w:t>
      </w:r>
      <w:r w:rsidRPr="009C6CD0">
        <w:rPr>
          <w:rFonts w:ascii="Cambria" w:hAnsi="Cambria"/>
          <w:color w:val="000000" w:themeColor="text1"/>
        </w:rPr>
        <w:t xml:space="preserve"> to study the causal effect of changes in oil prices we rely on an exogenous measure of oil supply shocks. Specifically, we use the newly developed measure of oil supply shocks by </w:t>
      </w:r>
      <w:r w:rsidR="008A4978" w:rsidRPr="009C6CD0">
        <w:rPr>
          <w:rFonts w:ascii="Cambria" w:hAnsi="Cambria"/>
          <w:color w:val="000000" w:themeColor="text1"/>
        </w:rPr>
        <w:t>Baumeister &amp; Hamilton (2019)</w:t>
      </w:r>
      <w:r w:rsidRPr="009C6CD0">
        <w:rPr>
          <w:rFonts w:ascii="Cambria" w:hAnsi="Cambria"/>
          <w:color w:val="000000" w:themeColor="text1"/>
        </w:rPr>
        <w:t xml:space="preserve">.  They use a structural vector autoregression framework to disentangle oil supply shocks from oil demand shocks. While the existing literature has made some strong assumptions about relevant elasticities, their Bayesian framework allows them to incorporate uncertainty about these elasticities in a transparent manner. The estimated oil shock is plotted in the bottom right panel of </w:t>
      </w:r>
      <w:r w:rsidR="00C601F1" w:rsidRPr="009C6CD0">
        <w:rPr>
          <w:rFonts w:ascii="Cambria" w:hAnsi="Cambria"/>
          <w:color w:val="000000" w:themeColor="text1"/>
        </w:rPr>
        <w:t>FIGURE 2</w:t>
      </w:r>
      <w:r w:rsidR="002B321C" w:rsidRPr="009C6CD0">
        <w:rPr>
          <w:rFonts w:ascii="Cambria" w:hAnsi="Cambria"/>
          <w:color w:val="000000" w:themeColor="text1"/>
        </w:rPr>
        <w:t>.</w:t>
      </w:r>
    </w:p>
    <w:p w14:paraId="30156434" w14:textId="3FB1F270" w:rsidR="00F92C83" w:rsidRPr="009C6CD0" w:rsidRDefault="00F92C83" w:rsidP="009C6CD0">
      <w:pPr>
        <w:jc w:val="both"/>
        <w:rPr>
          <w:rFonts w:ascii="Cambria" w:hAnsi="Cambria"/>
          <w:color w:val="000000" w:themeColor="text1"/>
          <w:sz w:val="24"/>
          <w:szCs w:val="24"/>
        </w:rPr>
      </w:pPr>
    </w:p>
    <w:p w14:paraId="6DB90E7D" w14:textId="5A68FF3B" w:rsidR="00F92C83" w:rsidRPr="003315AC" w:rsidRDefault="002628B7" w:rsidP="009C6CD0">
      <w:pPr>
        <w:jc w:val="both"/>
        <w:rPr>
          <w:rFonts w:ascii="Cambria" w:hAnsi="Cambria"/>
          <w:b/>
          <w:bCs/>
          <w:color w:val="000000" w:themeColor="text1"/>
          <w:sz w:val="28"/>
          <w:szCs w:val="28"/>
        </w:rPr>
      </w:pPr>
      <w:r w:rsidRPr="003315AC">
        <w:rPr>
          <w:rFonts w:ascii="Cambria" w:hAnsi="Cambria"/>
          <w:b/>
          <w:bCs/>
          <w:color w:val="000000" w:themeColor="text1"/>
          <w:sz w:val="28"/>
          <w:szCs w:val="28"/>
        </w:rPr>
        <w:t xml:space="preserve">4. </w:t>
      </w:r>
      <w:r w:rsidR="00F92C83" w:rsidRPr="003315AC">
        <w:rPr>
          <w:rFonts w:ascii="Cambria" w:hAnsi="Cambria"/>
          <w:b/>
          <w:bCs/>
          <w:color w:val="000000" w:themeColor="text1"/>
          <w:sz w:val="28"/>
          <w:szCs w:val="28"/>
        </w:rPr>
        <w:t>Results</w:t>
      </w:r>
    </w:p>
    <w:p w14:paraId="5F383203" w14:textId="47F1D388" w:rsidR="00F92C83" w:rsidRPr="00DB3D57" w:rsidRDefault="00F13D72" w:rsidP="009C6CD0">
      <w:pPr>
        <w:jc w:val="both"/>
        <w:rPr>
          <w:rFonts w:ascii="Cambria" w:hAnsi="Cambria"/>
          <w:b/>
          <w:i/>
          <w:color w:val="000000" w:themeColor="text1"/>
          <w:sz w:val="24"/>
          <w:szCs w:val="24"/>
        </w:rPr>
      </w:pPr>
      <w:r w:rsidRPr="00DB3D57">
        <w:rPr>
          <w:rFonts w:ascii="Cambria" w:hAnsi="Cambria"/>
          <w:b/>
          <w:i/>
          <w:color w:val="000000" w:themeColor="text1"/>
          <w:sz w:val="24"/>
          <w:szCs w:val="24"/>
        </w:rPr>
        <w:t xml:space="preserve">4.1 </w:t>
      </w:r>
      <w:r w:rsidR="00F92C83" w:rsidRPr="00DB3D57">
        <w:rPr>
          <w:rFonts w:ascii="Cambria" w:hAnsi="Cambria"/>
          <w:b/>
          <w:i/>
          <w:color w:val="000000" w:themeColor="text1"/>
          <w:sz w:val="24"/>
          <w:szCs w:val="24"/>
        </w:rPr>
        <w:t>Benchmark: World and BRICS Industrial Production</w:t>
      </w:r>
    </w:p>
    <w:p w14:paraId="09E3737C" w14:textId="77777777"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We first document the responses of both world and BRICS countries industrial production to the external shocks. We believe this is useful for at least two reasons. First, these responses will be helpful to understand the nature of the foreign shock, for example whether it is contractionary and expansionary or the persistence of the effects of the shock. Second, it will help place a benchmark on the quantitative magnitudes we should have in mind when we go to the India specific macro and financial variables.</w:t>
      </w:r>
    </w:p>
    <w:p w14:paraId="7077442D" w14:textId="596869BB" w:rsidR="00FE47C3" w:rsidRPr="00FE47C3" w:rsidRDefault="00FE47C3" w:rsidP="00FE47C3">
      <w:pPr>
        <w:pStyle w:val="NormalWeb"/>
        <w:rPr>
          <w:highlight w:val="yellow"/>
        </w:rPr>
      </w:pPr>
      <w:r w:rsidRPr="00FE47C3">
        <w:rPr>
          <w:rFonts w:ascii="Cambria" w:hAnsi="Cambria" w:cs="Helvetica"/>
          <w:color w:val="000000" w:themeColor="text1"/>
          <w:sz w:val="22"/>
          <w:szCs w:val="22"/>
          <w:highlight w:val="yellow"/>
        </w:rPr>
        <w:t xml:space="preserve">FIGURE </w:t>
      </w:r>
      <w:r w:rsidRPr="00FE47C3">
        <w:rPr>
          <w:rFonts w:ascii="Cambria" w:hAnsi="Cambria"/>
          <w:sz w:val="22"/>
          <w:szCs w:val="22"/>
          <w:highlight w:val="yellow"/>
        </w:rPr>
        <w:t xml:space="preserve">3: </w:t>
      </w:r>
      <w:r w:rsidRPr="00FE47C3">
        <w:rPr>
          <w:rFonts w:ascii="NimbusRomNo9L" w:hAnsi="NimbusRomNo9L"/>
          <w:highlight w:val="yellow"/>
        </w:rPr>
        <w:t xml:space="preserve">Response to </w:t>
      </w:r>
      <w:r w:rsidR="00BA0494">
        <w:rPr>
          <w:rFonts w:ascii="NimbusRomNo9L" w:hAnsi="NimbusRomNo9L"/>
          <w:highlight w:val="yellow"/>
        </w:rPr>
        <w:t>one standard deviation</w:t>
      </w:r>
      <w:r w:rsidRPr="00FE47C3">
        <w:rPr>
          <w:rFonts w:ascii="NimbusRomNo9L" w:hAnsi="NimbusRomNo9L"/>
          <w:highlight w:val="yellow"/>
        </w:rPr>
        <w:t xml:space="preserve"> shock: WIIP </w:t>
      </w:r>
    </w:p>
    <w:p w14:paraId="2A7F6331" w14:textId="5797A6D5" w:rsidR="00FE47C3" w:rsidRDefault="00FE47C3" w:rsidP="00FE47C3">
      <w:pPr>
        <w:pStyle w:val="NormalWeb"/>
        <w:jc w:val="both"/>
        <w:rPr>
          <w:rFonts w:ascii="Cambria" w:hAnsi="Cambria" w:cs="Helvetica"/>
          <w:color w:val="000000" w:themeColor="text1"/>
          <w:sz w:val="22"/>
          <w:szCs w:val="22"/>
          <w:highlight w:val="yellow"/>
        </w:rPr>
      </w:pPr>
      <w:r w:rsidRPr="00FE47C3">
        <w:rPr>
          <w:rFonts w:ascii="Cambria" w:hAnsi="Cambria" w:cs="Helvetica"/>
          <w:color w:val="000000" w:themeColor="text1"/>
          <w:sz w:val="22"/>
          <w:szCs w:val="22"/>
          <w:highlight w:val="yellow"/>
        </w:rPr>
        <w:t xml:space="preserve">INSERT FIGURE 3 </w:t>
      </w:r>
      <w:proofErr w:type="gramStart"/>
      <w:r w:rsidRPr="00FE47C3">
        <w:rPr>
          <w:rFonts w:ascii="Cambria" w:hAnsi="Cambria" w:cs="Helvetica"/>
          <w:color w:val="000000" w:themeColor="text1"/>
          <w:sz w:val="22"/>
          <w:szCs w:val="22"/>
          <w:highlight w:val="yellow"/>
        </w:rPr>
        <w:t xml:space="preserve">HERE </w:t>
      </w:r>
      <w:r w:rsidR="002B35EE">
        <w:rPr>
          <w:rFonts w:ascii="Cambria" w:hAnsi="Cambria" w:cs="Helvetica"/>
          <w:color w:val="000000" w:themeColor="text1"/>
          <w:sz w:val="22"/>
          <w:szCs w:val="22"/>
          <w:highlight w:val="yellow"/>
        </w:rPr>
        <w:t xml:space="preserve"> IN</w:t>
      </w:r>
      <w:proofErr w:type="gramEnd"/>
      <w:r w:rsidR="002B35EE">
        <w:rPr>
          <w:rFonts w:ascii="Cambria" w:hAnsi="Cambria" w:cs="Helvetica"/>
          <w:color w:val="000000" w:themeColor="text1"/>
          <w:sz w:val="22"/>
          <w:szCs w:val="22"/>
          <w:highlight w:val="yellow"/>
        </w:rPr>
        <w:t xml:space="preserve"> FOUR PANELS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35EE" w14:paraId="0A13AA06" w14:textId="77777777" w:rsidTr="002B35EE">
        <w:tc>
          <w:tcPr>
            <w:tcW w:w="4675" w:type="dxa"/>
          </w:tcPr>
          <w:p w14:paraId="0030C0E0" w14:textId="4C1619F3" w:rsidR="002B35EE" w:rsidRPr="002B35EE" w:rsidRDefault="002B35EE" w:rsidP="00FE47C3">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A</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Monetary Policy Shock</w:t>
            </w:r>
          </w:p>
          <w:p w14:paraId="497C30D6" w14:textId="77777777" w:rsidR="002B35EE" w:rsidRDefault="002B35EE" w:rsidP="00FE47C3">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FIGURE3</w:t>
            </w:r>
            <w:r>
              <w:rPr>
                <w:rFonts w:ascii="Cambria" w:hAnsi="Cambria" w:cs="Helvetica"/>
                <w:color w:val="000000" w:themeColor="text1"/>
                <w:sz w:val="22"/>
                <w:szCs w:val="22"/>
                <w:highlight w:val="yellow"/>
              </w:rPr>
              <w:t>TOPLEFT_MP.PNG</w:t>
            </w:r>
          </w:p>
          <w:p w14:paraId="09F3D79B" w14:textId="2BE69F5B" w:rsidR="002B35EE" w:rsidRDefault="002B35EE" w:rsidP="00FE47C3">
            <w:pPr>
              <w:pStyle w:val="NormalWeb"/>
              <w:jc w:val="both"/>
              <w:rPr>
                <w:rFonts w:ascii="Cambria" w:hAnsi="Cambria" w:cs="Helvetica"/>
                <w:color w:val="000000" w:themeColor="text1"/>
                <w:sz w:val="22"/>
                <w:szCs w:val="22"/>
                <w:highlight w:val="yellow"/>
              </w:rPr>
            </w:pPr>
          </w:p>
        </w:tc>
        <w:tc>
          <w:tcPr>
            <w:tcW w:w="4675" w:type="dxa"/>
          </w:tcPr>
          <w:p w14:paraId="51F23271" w14:textId="5980D1EB" w:rsidR="002B35EE" w:rsidRPr="002B35EE" w:rsidRDefault="002B35EE" w:rsidP="00FE47C3">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B</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Economic Policy Uncertainty Shock</w:t>
            </w:r>
          </w:p>
          <w:p w14:paraId="6AA2FEBE" w14:textId="4A4B9DD1" w:rsidR="002B35EE" w:rsidRDefault="002B35EE" w:rsidP="00FE47C3">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 3</w:t>
            </w:r>
            <w:r>
              <w:rPr>
                <w:rFonts w:ascii="Cambria" w:hAnsi="Cambria" w:cs="Helvetica"/>
                <w:color w:val="000000" w:themeColor="text1"/>
                <w:sz w:val="22"/>
                <w:szCs w:val="22"/>
                <w:highlight w:val="yellow"/>
              </w:rPr>
              <w:t>TOPRIGHT_EPU.PNG</w:t>
            </w:r>
          </w:p>
        </w:tc>
      </w:tr>
      <w:tr w:rsidR="002B35EE" w14:paraId="25669E5A" w14:textId="77777777" w:rsidTr="002B35EE">
        <w:tc>
          <w:tcPr>
            <w:tcW w:w="4675" w:type="dxa"/>
          </w:tcPr>
          <w:p w14:paraId="37C63DF7" w14:textId="76780970" w:rsidR="002B35EE" w:rsidRPr="002B35EE" w:rsidRDefault="002B35EE" w:rsidP="002B35EE">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C</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Geopolitical Risk Shock</w:t>
            </w:r>
          </w:p>
          <w:p w14:paraId="2F6E6A58" w14:textId="13A49EE4" w:rsidR="002B35EE" w:rsidRDefault="002B35EE" w:rsidP="002B35EE">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FIGURE3</w:t>
            </w:r>
            <w:r>
              <w:rPr>
                <w:rFonts w:ascii="Cambria" w:hAnsi="Cambria" w:cs="Helvetica"/>
                <w:color w:val="000000" w:themeColor="text1"/>
                <w:sz w:val="22"/>
                <w:szCs w:val="22"/>
                <w:highlight w:val="yellow"/>
              </w:rPr>
              <w:t>BOTTOMLEFT_GPR.PNG</w:t>
            </w:r>
          </w:p>
        </w:tc>
        <w:tc>
          <w:tcPr>
            <w:tcW w:w="4675" w:type="dxa"/>
          </w:tcPr>
          <w:p w14:paraId="5A8FB946" w14:textId="1F041D98" w:rsidR="002B35EE" w:rsidRPr="002B35EE" w:rsidRDefault="002B35EE" w:rsidP="002B35EE">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D</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Oil Supply Shock</w:t>
            </w:r>
          </w:p>
          <w:p w14:paraId="39F2745B" w14:textId="066C90B5" w:rsidR="002B35EE" w:rsidRDefault="002B35EE" w:rsidP="002B35EE">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 3</w:t>
            </w:r>
            <w:r>
              <w:rPr>
                <w:rFonts w:ascii="Cambria" w:hAnsi="Cambria" w:cs="Helvetica"/>
                <w:color w:val="000000" w:themeColor="text1"/>
                <w:sz w:val="22"/>
                <w:szCs w:val="22"/>
                <w:highlight w:val="yellow"/>
              </w:rPr>
              <w:t>BOTTOMRIGHT_OIL.PNG</w:t>
            </w:r>
          </w:p>
        </w:tc>
      </w:tr>
    </w:tbl>
    <w:p w14:paraId="6B61F9E3" w14:textId="77777777" w:rsidR="002B35EE" w:rsidRDefault="002B35EE" w:rsidP="00FE47C3">
      <w:pPr>
        <w:pStyle w:val="NormalWeb"/>
        <w:jc w:val="both"/>
        <w:rPr>
          <w:rFonts w:ascii="Cambria" w:hAnsi="Cambria" w:cs="Helvetica"/>
          <w:color w:val="000000" w:themeColor="text1"/>
          <w:sz w:val="22"/>
          <w:szCs w:val="22"/>
          <w:highlight w:val="yellow"/>
        </w:rPr>
      </w:pPr>
    </w:p>
    <w:p w14:paraId="7AD03AB7" w14:textId="6EB0441C" w:rsidR="00FE47C3" w:rsidRPr="00852CFC" w:rsidRDefault="00FE47C3" w:rsidP="00852CFC">
      <w:pPr>
        <w:pStyle w:val="NormalWeb"/>
        <w:jc w:val="both"/>
        <w:rPr>
          <w:rFonts w:ascii="Cambria" w:hAnsi="Cambria"/>
        </w:rPr>
      </w:pPr>
      <w:r w:rsidRPr="00FE47C3">
        <w:rPr>
          <w:rFonts w:ascii="Cambria" w:hAnsi="Cambria" w:cs="Helvetica"/>
          <w:i/>
          <w:color w:val="000000" w:themeColor="text1"/>
          <w:sz w:val="20"/>
          <w:szCs w:val="20"/>
          <w:highlight w:val="yellow"/>
        </w:rPr>
        <w:t>Notes:</w:t>
      </w:r>
      <w:r w:rsidRPr="00FE47C3">
        <w:rPr>
          <w:rFonts w:ascii="Cambria" w:hAnsi="Cambria" w:cs="Helvetica"/>
          <w:color w:val="000000" w:themeColor="text1"/>
          <w:sz w:val="20"/>
          <w:szCs w:val="20"/>
          <w:highlight w:val="yellow"/>
        </w:rPr>
        <w:t xml:space="preserve"> </w:t>
      </w:r>
      <w:r w:rsidRPr="00FE47C3">
        <w:rPr>
          <w:rFonts w:ascii="Cambria" w:hAnsi="Cambria"/>
          <w:color w:val="000000" w:themeColor="text1"/>
          <w:sz w:val="20"/>
          <w:szCs w:val="20"/>
          <w:highlight w:val="yellow"/>
        </w:rPr>
        <w:t xml:space="preserve">SVAR estimated response of world industrial production (OECD + BRICS) region to a </w:t>
      </w:r>
      <w:r w:rsidR="00BA0494">
        <w:rPr>
          <w:rFonts w:ascii="Cambria" w:hAnsi="Cambria"/>
          <w:color w:val="000000" w:themeColor="text1"/>
          <w:sz w:val="20"/>
          <w:szCs w:val="20"/>
          <w:highlight w:val="yellow"/>
        </w:rPr>
        <w:t>one standard deviation</w:t>
      </w:r>
      <w:r w:rsidRPr="00FE47C3">
        <w:rPr>
          <w:rFonts w:ascii="Cambria" w:hAnsi="Cambria"/>
          <w:color w:val="000000" w:themeColor="text1"/>
          <w:sz w:val="20"/>
          <w:szCs w:val="20"/>
          <w:highlight w:val="yellow"/>
        </w:rPr>
        <w:t xml:space="preserve"> shock. Shaded areas represent one standard deviation confidence intervals. Standard errors are bootstrapped as in Gertler &amp; Karadi (2015). WIIP is an extended version of the OECD’s index of monthly industrial production in the OECD and six major other countries developed by Baumeister &amp; Hamilton (2019). The sources for shocks are described in the text. Sample: February 1997 - December 2017. See text for details. </w:t>
      </w:r>
      <w:r w:rsidRPr="00FE47C3">
        <w:rPr>
          <w:rFonts w:ascii="Cambria" w:hAnsi="Cambria"/>
          <w:i/>
          <w:iCs/>
          <w:color w:val="000000" w:themeColor="text1"/>
          <w:sz w:val="20"/>
          <w:szCs w:val="20"/>
          <w:highlight w:val="yellow"/>
        </w:rPr>
        <w:t>Authors’ own calculations</w:t>
      </w:r>
      <w:r w:rsidRPr="00FE47C3">
        <w:rPr>
          <w:rFonts w:ascii="Cambria" w:hAnsi="Cambria"/>
          <w:sz w:val="20"/>
          <w:szCs w:val="20"/>
          <w:highlight w:val="yellow"/>
        </w:rPr>
        <w:t>.</w:t>
      </w:r>
      <w:r w:rsidRPr="00FE47C3">
        <w:rPr>
          <w:rFonts w:ascii="Cambria" w:hAnsi="Cambria"/>
          <w:sz w:val="20"/>
          <w:szCs w:val="20"/>
        </w:rPr>
        <w:t xml:space="preserve"> </w:t>
      </w:r>
    </w:p>
    <w:p w14:paraId="19259CC6" w14:textId="03B84DC9"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lastRenderedPageBreak/>
        <w:t xml:space="preserve">Our sample uses monthly data from January 1994 to December 2017.  For the economic policy uncertainty shock, the sample starts in February 1997.  </w:t>
      </w:r>
      <w:r w:rsidR="00003E99" w:rsidRPr="009C6CD0">
        <w:rPr>
          <w:rFonts w:ascii="Cambria" w:hAnsi="Cambria"/>
          <w:color w:val="000000" w:themeColor="text1"/>
          <w:sz w:val="24"/>
          <w:szCs w:val="24"/>
        </w:rPr>
        <w:t>F</w:t>
      </w:r>
      <w:r w:rsidR="00FE650A" w:rsidRPr="009C6CD0">
        <w:rPr>
          <w:rFonts w:ascii="Cambria" w:hAnsi="Cambria"/>
          <w:color w:val="000000" w:themeColor="text1"/>
          <w:sz w:val="24"/>
          <w:szCs w:val="24"/>
        </w:rPr>
        <w:t>IGURE</w:t>
      </w:r>
      <w:r w:rsidR="00003E99" w:rsidRPr="009C6CD0">
        <w:rPr>
          <w:rFonts w:ascii="Cambria" w:hAnsi="Cambria"/>
          <w:color w:val="000000" w:themeColor="text1"/>
          <w:sz w:val="24"/>
          <w:szCs w:val="24"/>
        </w:rPr>
        <w:t xml:space="preserve"> 3</w:t>
      </w:r>
      <w:r w:rsidRPr="009C6CD0">
        <w:rPr>
          <w:rFonts w:ascii="Cambria" w:hAnsi="Cambria"/>
          <w:color w:val="000000" w:themeColor="text1"/>
          <w:sz w:val="24"/>
          <w:szCs w:val="24"/>
        </w:rPr>
        <w:t xml:space="preserve"> plots the impulse responses of world industrial production to our four measures of shocks, namely, shocks to US monetary policy, economic policy uncertainty, geopolitical risk and global oil supply shocks.  This measure of industrial production includes all OECD countries plus the six major non-member economies (Brazil, China, India, Indonesia, Russia and South Africa). As mentioned above the impulse responses are computed using a combination of putting our shocks directly in the SVAR or LP framework and using them as instruments in the SVARIV or LPIV framework.  </w:t>
      </w:r>
      <w:r w:rsidR="00B17F0A" w:rsidRPr="009C6CD0">
        <w:rPr>
          <w:rFonts w:ascii="Cambria" w:hAnsi="Cambria"/>
          <w:color w:val="000000" w:themeColor="text1"/>
          <w:sz w:val="24"/>
          <w:szCs w:val="24"/>
        </w:rPr>
        <w:t>Specifically,</w:t>
      </w:r>
      <w:r w:rsidRPr="009C6CD0">
        <w:rPr>
          <w:rFonts w:ascii="Cambria" w:hAnsi="Cambria"/>
          <w:color w:val="000000" w:themeColor="text1"/>
          <w:sz w:val="24"/>
          <w:szCs w:val="24"/>
        </w:rPr>
        <w:t xml:space="preserve"> for the monetary policy and oil supply shock we use these measures of exogenous shocks directly.  For the responses to economic policy uncertainty and geopolitical risk shocks, we use the dummy indicators described above as instruments.  </w:t>
      </w:r>
      <w:r w:rsidR="00B17F0A" w:rsidRPr="009C6CD0">
        <w:rPr>
          <w:rFonts w:ascii="Cambria" w:hAnsi="Cambria"/>
          <w:color w:val="000000" w:themeColor="text1"/>
          <w:sz w:val="24"/>
          <w:szCs w:val="24"/>
        </w:rPr>
        <w:t xml:space="preserve">FIGURE 3 </w:t>
      </w:r>
      <w:r w:rsidRPr="009C6CD0">
        <w:rPr>
          <w:rFonts w:ascii="Cambria" w:hAnsi="Cambria"/>
          <w:color w:val="000000" w:themeColor="text1"/>
          <w:sz w:val="24"/>
          <w:szCs w:val="24"/>
        </w:rPr>
        <w:t>displays the responses to a one standard deviation shock from a bivariate SVAR framework which include log of the industrial production index and the relevant shock.  The impulse responses from the LP framework are similar and are put in the appendix.  The blue dotted lines represent one standard deviation confidence bands, where the standard errors are computed using a bootstrap algorithm.</w:t>
      </w:r>
    </w:p>
    <w:p w14:paraId="78375591" w14:textId="2AB835CC" w:rsidR="00127C5C" w:rsidRDefault="00F92C83" w:rsidP="009C6CD0">
      <w:pPr>
        <w:pStyle w:val="NormalWeb"/>
        <w:jc w:val="both"/>
        <w:rPr>
          <w:rFonts w:ascii="Cambria" w:hAnsi="Cambria"/>
          <w:color w:val="000000" w:themeColor="text1"/>
        </w:rPr>
      </w:pPr>
      <w:r w:rsidRPr="009C6CD0">
        <w:rPr>
          <w:rFonts w:ascii="Cambria" w:hAnsi="Cambria"/>
          <w:color w:val="000000" w:themeColor="text1"/>
        </w:rPr>
        <w:t xml:space="preserve">The top left panel shows the response to a contractionary US monetary policy shock, or an unexpected increase in short-term interest rate by the Federal Reserve.  The response of world industrial production displays an inverse hump-shaped response with a trough of about </w:t>
      </w:r>
      <w:r w:rsidR="00626B44">
        <w:rPr>
          <w:rFonts w:ascii="Cambria" w:hAnsi="Cambria"/>
          <w:color w:val="000000" w:themeColor="text1"/>
        </w:rPr>
        <w:t>–</w:t>
      </w:r>
      <w:r w:rsidRPr="009C6CD0">
        <w:rPr>
          <w:rFonts w:ascii="Cambria" w:hAnsi="Cambria"/>
          <w:color w:val="000000" w:themeColor="text1"/>
        </w:rPr>
        <w:t xml:space="preserve">0.4% at the </w:t>
      </w:r>
      <w:r w:rsidR="00D706EA" w:rsidRPr="009C6CD0">
        <w:rPr>
          <w:rFonts w:ascii="Cambria" w:hAnsi="Cambria"/>
          <w:color w:val="000000" w:themeColor="text1"/>
        </w:rPr>
        <w:t>1-year</w:t>
      </w:r>
      <w:r w:rsidRPr="009C6CD0">
        <w:rPr>
          <w:rFonts w:ascii="Cambria" w:hAnsi="Cambria"/>
          <w:color w:val="000000" w:themeColor="text1"/>
        </w:rPr>
        <w:t xml:space="preserve"> mark. The effects of the shock have faded by the </w:t>
      </w:r>
      <w:r w:rsidR="00D706EA" w:rsidRPr="009C6CD0">
        <w:rPr>
          <w:rFonts w:ascii="Cambria" w:hAnsi="Cambria"/>
          <w:color w:val="000000" w:themeColor="text1"/>
        </w:rPr>
        <w:t>2-year</w:t>
      </w:r>
      <w:r w:rsidRPr="009C6CD0">
        <w:rPr>
          <w:rFonts w:ascii="Cambria" w:hAnsi="Cambria"/>
          <w:color w:val="000000" w:themeColor="text1"/>
        </w:rPr>
        <w:t xml:space="preserve"> horizon.  These results are consistent with the hypothesis of global financial cycle </w:t>
      </w:r>
      <w:r w:rsidR="00D706EA" w:rsidRPr="009C6CD0">
        <w:rPr>
          <w:rFonts w:ascii="Cambria" w:hAnsi="Cambria"/>
          <w:color w:val="000000" w:themeColor="text1"/>
        </w:rPr>
        <w:t>(Miranda-</w:t>
      </w:r>
      <w:proofErr w:type="spellStart"/>
      <w:r w:rsidR="00D706EA" w:rsidRPr="009C6CD0">
        <w:rPr>
          <w:rFonts w:ascii="Cambria" w:hAnsi="Cambria"/>
          <w:color w:val="000000" w:themeColor="text1"/>
        </w:rPr>
        <w:t>Agrippino</w:t>
      </w:r>
      <w:proofErr w:type="spellEnd"/>
      <w:r w:rsidR="00D706EA" w:rsidRPr="009C6CD0">
        <w:rPr>
          <w:rFonts w:ascii="Cambria" w:hAnsi="Cambria"/>
          <w:color w:val="000000" w:themeColor="text1"/>
        </w:rPr>
        <w:t xml:space="preserve"> &amp; Rey 2018) </w:t>
      </w:r>
      <w:r w:rsidRPr="009C6CD0">
        <w:rPr>
          <w:rFonts w:ascii="Cambria" w:hAnsi="Cambria"/>
          <w:color w:val="000000" w:themeColor="text1"/>
        </w:rPr>
        <w:t xml:space="preserve">which find substantial global effects of US monetary policy.  The top right panel shows the response to an increase in economic policy uncertainty.  World industrial production falls on impact and the peak fall of 0.4% is reached around 6 months, </w:t>
      </w:r>
      <w:r w:rsidR="002123E3" w:rsidRPr="009C6CD0">
        <w:rPr>
          <w:rFonts w:ascii="Cambria" w:hAnsi="Cambria"/>
          <w:color w:val="000000" w:themeColor="text1"/>
        </w:rPr>
        <w:t>the</w:t>
      </w:r>
      <w:r w:rsidRPr="009C6CD0">
        <w:rPr>
          <w:rFonts w:ascii="Cambria" w:hAnsi="Cambria"/>
          <w:color w:val="000000" w:themeColor="text1"/>
        </w:rPr>
        <w:t xml:space="preserve"> response stays around this level for about a year before reverting back.  The bottom left panel shows a one standard deviation increase in geopolitical risk.  The effects of this shock are also contractionary but somewhat smaller with a peak effect of </w:t>
      </w:r>
      <w:r w:rsidR="00AF3C4E">
        <w:rPr>
          <w:rFonts w:ascii="Cambria" w:hAnsi="Cambria"/>
          <w:color w:val="000000" w:themeColor="text1"/>
        </w:rPr>
        <w:t>–</w:t>
      </w:r>
      <w:r w:rsidRPr="009C6CD0">
        <w:rPr>
          <w:rFonts w:ascii="Cambria" w:hAnsi="Cambria"/>
          <w:color w:val="000000" w:themeColor="text1"/>
        </w:rPr>
        <w:t>0.15%.  Finally, the bottom right panel shows the response to an adverse supply shock in the oil market.  As expected, we see a contractionary effect on world industrial production with a peak fall of about 0.3</w:t>
      </w:r>
      <w:r w:rsidR="00996C77" w:rsidRPr="009C6CD0">
        <w:rPr>
          <w:rFonts w:ascii="Cambria" w:hAnsi="Cambria"/>
          <w:color w:val="000000" w:themeColor="text1"/>
        </w:rPr>
        <w:t xml:space="preserve"> </w:t>
      </w:r>
      <w:r w:rsidRPr="009C6CD0">
        <w:rPr>
          <w:rFonts w:ascii="Cambria" w:hAnsi="Cambria"/>
          <w:color w:val="000000" w:themeColor="text1"/>
        </w:rPr>
        <w:t xml:space="preserve">%.  In addition to having quantitatively meaningful effects, for all the four shocks the peak effect roughly around the </w:t>
      </w:r>
      <w:r w:rsidR="00996C77" w:rsidRPr="009C6CD0">
        <w:rPr>
          <w:rFonts w:ascii="Cambria" w:hAnsi="Cambria"/>
          <w:color w:val="000000" w:themeColor="text1"/>
        </w:rPr>
        <w:t>one-year</w:t>
      </w:r>
      <w:r w:rsidRPr="009C6CD0">
        <w:rPr>
          <w:rFonts w:ascii="Cambria" w:hAnsi="Cambria"/>
          <w:color w:val="000000" w:themeColor="text1"/>
        </w:rPr>
        <w:t xml:space="preserve"> mark is also statistically significant as indicated by the confidence intervals.</w:t>
      </w:r>
    </w:p>
    <w:p w14:paraId="2FA33C9B" w14:textId="4BAC81F4" w:rsidR="00127C5C" w:rsidRPr="00127C5C" w:rsidRDefault="00127C5C" w:rsidP="00127C5C">
      <w:pPr>
        <w:pStyle w:val="NormalWeb"/>
        <w:jc w:val="both"/>
        <w:rPr>
          <w:highlight w:val="yellow"/>
        </w:rPr>
      </w:pPr>
      <w:r w:rsidRPr="00127C5C">
        <w:rPr>
          <w:rFonts w:ascii="Cambria" w:hAnsi="Cambria" w:cs="Helvetica"/>
          <w:color w:val="000000" w:themeColor="text1"/>
          <w:sz w:val="22"/>
          <w:szCs w:val="22"/>
          <w:highlight w:val="yellow"/>
        </w:rPr>
        <w:t xml:space="preserve">FIGURE </w:t>
      </w:r>
      <w:r w:rsidRPr="00127C5C">
        <w:rPr>
          <w:rFonts w:ascii="Cambria" w:hAnsi="Cambria"/>
          <w:sz w:val="22"/>
          <w:szCs w:val="22"/>
          <w:highlight w:val="yellow"/>
        </w:rPr>
        <w:t xml:space="preserve">4: </w:t>
      </w:r>
      <w:r w:rsidRPr="00127C5C">
        <w:rPr>
          <w:rFonts w:ascii="NimbusRomNo9L" w:hAnsi="NimbusRomNo9L"/>
          <w:highlight w:val="yellow"/>
        </w:rPr>
        <w:t xml:space="preserve">Response to </w:t>
      </w:r>
      <w:r w:rsidR="00BA0494">
        <w:rPr>
          <w:rFonts w:ascii="NimbusRomNo9L" w:hAnsi="NimbusRomNo9L"/>
          <w:highlight w:val="yellow"/>
        </w:rPr>
        <w:t>one standard deviation</w:t>
      </w:r>
      <w:r w:rsidRPr="00127C5C">
        <w:rPr>
          <w:rFonts w:ascii="NimbusRomNo9L" w:hAnsi="NimbusRomNo9L"/>
          <w:highlight w:val="yellow"/>
        </w:rPr>
        <w:t xml:space="preserve"> shock: BRICS IIP </w:t>
      </w:r>
    </w:p>
    <w:p w14:paraId="489943AC" w14:textId="1F1299A1" w:rsidR="002B35EE" w:rsidRDefault="002B35EE" w:rsidP="002B35EE">
      <w:pPr>
        <w:pStyle w:val="NormalWeb"/>
        <w:jc w:val="both"/>
        <w:rPr>
          <w:rFonts w:ascii="Cambria" w:hAnsi="Cambria" w:cs="Helvetica"/>
          <w:color w:val="000000" w:themeColor="text1"/>
          <w:sz w:val="22"/>
          <w:szCs w:val="22"/>
          <w:highlight w:val="yellow"/>
        </w:rPr>
      </w:pPr>
      <w:r w:rsidRPr="00FE47C3">
        <w:rPr>
          <w:rFonts w:ascii="Cambria" w:hAnsi="Cambria" w:cs="Helvetica"/>
          <w:color w:val="000000" w:themeColor="text1"/>
          <w:sz w:val="22"/>
          <w:szCs w:val="22"/>
          <w:highlight w:val="yellow"/>
        </w:rPr>
        <w:t xml:space="preserve">INSERT FIGURE </w:t>
      </w:r>
      <w:r>
        <w:rPr>
          <w:rFonts w:ascii="Cambria" w:hAnsi="Cambria" w:cs="Helvetica"/>
          <w:color w:val="000000" w:themeColor="text1"/>
          <w:sz w:val="22"/>
          <w:szCs w:val="22"/>
          <w:highlight w:val="yellow"/>
        </w:rPr>
        <w:t>4</w:t>
      </w:r>
      <w:r w:rsidRPr="00FE47C3">
        <w:rPr>
          <w:rFonts w:ascii="Cambria" w:hAnsi="Cambria" w:cs="Helvetica"/>
          <w:color w:val="000000" w:themeColor="text1"/>
          <w:sz w:val="22"/>
          <w:szCs w:val="22"/>
          <w:highlight w:val="yellow"/>
        </w:rPr>
        <w:t xml:space="preserve"> </w:t>
      </w:r>
      <w:proofErr w:type="gramStart"/>
      <w:r w:rsidRPr="00FE47C3">
        <w:rPr>
          <w:rFonts w:ascii="Cambria" w:hAnsi="Cambria" w:cs="Helvetica"/>
          <w:color w:val="000000" w:themeColor="text1"/>
          <w:sz w:val="22"/>
          <w:szCs w:val="22"/>
          <w:highlight w:val="yellow"/>
        </w:rPr>
        <w:t xml:space="preserve">HERE </w:t>
      </w:r>
      <w:r>
        <w:rPr>
          <w:rFonts w:ascii="Cambria" w:hAnsi="Cambria" w:cs="Helvetica"/>
          <w:color w:val="000000" w:themeColor="text1"/>
          <w:sz w:val="22"/>
          <w:szCs w:val="22"/>
          <w:highlight w:val="yellow"/>
        </w:rPr>
        <w:t xml:space="preserve"> IN</w:t>
      </w:r>
      <w:proofErr w:type="gramEnd"/>
      <w:r>
        <w:rPr>
          <w:rFonts w:ascii="Cambria" w:hAnsi="Cambria" w:cs="Helvetica"/>
          <w:color w:val="000000" w:themeColor="text1"/>
          <w:sz w:val="22"/>
          <w:szCs w:val="22"/>
          <w:highlight w:val="yellow"/>
        </w:rPr>
        <w:t xml:space="preserve"> FOUR PANELS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35EE" w14:paraId="689141CC" w14:textId="77777777" w:rsidTr="00F4748F">
        <w:tc>
          <w:tcPr>
            <w:tcW w:w="4675" w:type="dxa"/>
          </w:tcPr>
          <w:p w14:paraId="3AC60530" w14:textId="77777777" w:rsidR="002B35EE" w:rsidRPr="002B35EE" w:rsidRDefault="002B35EE"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A</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Monetary Policy Shock</w:t>
            </w:r>
          </w:p>
          <w:p w14:paraId="61DE6572" w14:textId="77777777" w:rsidR="002B35EE" w:rsidRDefault="002B35EE"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w:t>
            </w:r>
            <w:r>
              <w:rPr>
                <w:rFonts w:ascii="Cambria" w:hAnsi="Cambria" w:cs="Helvetica"/>
                <w:color w:val="000000" w:themeColor="text1"/>
                <w:sz w:val="22"/>
                <w:szCs w:val="22"/>
                <w:highlight w:val="yellow"/>
              </w:rPr>
              <w:t>4TOPLEFT_MP.PNG</w:t>
            </w:r>
          </w:p>
          <w:p w14:paraId="59C1C4E6" w14:textId="732EB4E3" w:rsidR="002B35EE" w:rsidRDefault="002B35EE" w:rsidP="00F4748F">
            <w:pPr>
              <w:pStyle w:val="NormalWeb"/>
              <w:jc w:val="both"/>
              <w:rPr>
                <w:rFonts w:ascii="Cambria" w:hAnsi="Cambria" w:cs="Helvetica"/>
                <w:color w:val="000000" w:themeColor="text1"/>
                <w:sz w:val="22"/>
                <w:szCs w:val="22"/>
                <w:highlight w:val="yellow"/>
              </w:rPr>
            </w:pPr>
          </w:p>
        </w:tc>
        <w:tc>
          <w:tcPr>
            <w:tcW w:w="4675" w:type="dxa"/>
          </w:tcPr>
          <w:p w14:paraId="79AB89D0" w14:textId="77777777" w:rsidR="002B35EE" w:rsidRPr="002B35EE" w:rsidRDefault="002B35EE"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B</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Economic Policy Uncertainty Shock</w:t>
            </w:r>
          </w:p>
          <w:p w14:paraId="44D2DDBC" w14:textId="55F3E751" w:rsidR="002B35EE" w:rsidRDefault="002B35EE"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 xml:space="preserve">FIGURE </w:t>
            </w:r>
            <w:r>
              <w:rPr>
                <w:rFonts w:ascii="Cambria" w:hAnsi="Cambria" w:cs="Helvetica"/>
                <w:color w:val="000000" w:themeColor="text1"/>
                <w:sz w:val="22"/>
                <w:szCs w:val="22"/>
                <w:highlight w:val="yellow"/>
              </w:rPr>
              <w:t>4TOPRIGHT_EPU.PNG</w:t>
            </w:r>
          </w:p>
        </w:tc>
      </w:tr>
      <w:tr w:rsidR="002B35EE" w14:paraId="37AF6723" w14:textId="77777777" w:rsidTr="00F4748F">
        <w:tc>
          <w:tcPr>
            <w:tcW w:w="4675" w:type="dxa"/>
          </w:tcPr>
          <w:p w14:paraId="27961A69" w14:textId="77777777" w:rsidR="002B35EE" w:rsidRPr="002B35EE" w:rsidRDefault="002B35EE"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C</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Geopolitical Risk Shock</w:t>
            </w:r>
          </w:p>
          <w:p w14:paraId="447FE5D1" w14:textId="60BDFA0D" w:rsidR="002B35EE" w:rsidRDefault="002B35EE"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lastRenderedPageBreak/>
              <w:t xml:space="preserve">INSERT </w:t>
            </w:r>
            <w:r w:rsidRPr="00FE47C3">
              <w:rPr>
                <w:rFonts w:ascii="Cambria" w:hAnsi="Cambria" w:cs="Helvetica"/>
                <w:color w:val="000000" w:themeColor="text1"/>
                <w:sz w:val="22"/>
                <w:szCs w:val="22"/>
                <w:highlight w:val="yellow"/>
              </w:rPr>
              <w:t>FIGURE</w:t>
            </w:r>
            <w:r>
              <w:rPr>
                <w:rFonts w:ascii="Cambria" w:hAnsi="Cambria" w:cs="Helvetica"/>
                <w:color w:val="000000" w:themeColor="text1"/>
                <w:sz w:val="22"/>
                <w:szCs w:val="22"/>
                <w:highlight w:val="yellow"/>
              </w:rPr>
              <w:t>4BOTTOMLEFT_GPR.PNG</w:t>
            </w:r>
          </w:p>
        </w:tc>
        <w:tc>
          <w:tcPr>
            <w:tcW w:w="4675" w:type="dxa"/>
          </w:tcPr>
          <w:p w14:paraId="79A05B30" w14:textId="77777777" w:rsidR="002B35EE" w:rsidRPr="002B35EE" w:rsidRDefault="002B35EE"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lastRenderedPageBreak/>
              <w:t>D</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Oil Supply Shock</w:t>
            </w:r>
          </w:p>
          <w:p w14:paraId="17D73F98" w14:textId="12B5687F" w:rsidR="002B35EE" w:rsidRDefault="002B35EE"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lastRenderedPageBreak/>
              <w:t xml:space="preserve">INSERT </w:t>
            </w:r>
            <w:r w:rsidRPr="00FE47C3">
              <w:rPr>
                <w:rFonts w:ascii="Cambria" w:hAnsi="Cambria" w:cs="Helvetica"/>
                <w:color w:val="000000" w:themeColor="text1"/>
                <w:sz w:val="22"/>
                <w:szCs w:val="22"/>
                <w:highlight w:val="yellow"/>
              </w:rPr>
              <w:t xml:space="preserve">FIGURE </w:t>
            </w:r>
            <w:r>
              <w:rPr>
                <w:rFonts w:ascii="Cambria" w:hAnsi="Cambria" w:cs="Helvetica"/>
                <w:color w:val="000000" w:themeColor="text1"/>
                <w:sz w:val="22"/>
                <w:szCs w:val="22"/>
                <w:highlight w:val="yellow"/>
              </w:rPr>
              <w:t>4BOTTOMRIGHT_OIL.PNG</w:t>
            </w:r>
          </w:p>
        </w:tc>
      </w:tr>
    </w:tbl>
    <w:p w14:paraId="46B1D773" w14:textId="426B9920" w:rsidR="00127C5C" w:rsidRPr="009C6CD0" w:rsidRDefault="00127C5C" w:rsidP="009C6CD0">
      <w:pPr>
        <w:pStyle w:val="NormalWeb"/>
        <w:jc w:val="both"/>
        <w:rPr>
          <w:rFonts w:ascii="Cambria" w:hAnsi="Cambria"/>
          <w:color w:val="000000" w:themeColor="text1"/>
        </w:rPr>
      </w:pPr>
      <w:r w:rsidRPr="00127C5C">
        <w:rPr>
          <w:rFonts w:ascii="Cambria" w:hAnsi="Cambria" w:cs="Helvetica"/>
          <w:i/>
          <w:color w:val="000000" w:themeColor="text1"/>
          <w:sz w:val="20"/>
          <w:szCs w:val="20"/>
          <w:highlight w:val="yellow"/>
        </w:rPr>
        <w:lastRenderedPageBreak/>
        <w:t>Notes:</w:t>
      </w:r>
      <w:r w:rsidRPr="00127C5C">
        <w:rPr>
          <w:rFonts w:ascii="Cambria" w:hAnsi="Cambria" w:cs="Helvetica"/>
          <w:color w:val="000000" w:themeColor="text1"/>
          <w:sz w:val="20"/>
          <w:szCs w:val="20"/>
          <w:highlight w:val="yellow"/>
        </w:rPr>
        <w:t xml:space="preserve"> </w:t>
      </w:r>
      <w:r w:rsidRPr="00127C5C">
        <w:rPr>
          <w:rFonts w:ascii="Cambria" w:hAnsi="Cambria"/>
          <w:color w:val="000000" w:themeColor="text1"/>
          <w:sz w:val="20"/>
          <w:szCs w:val="20"/>
          <w:highlight w:val="yellow"/>
        </w:rPr>
        <w:t xml:space="preserve">SVAR estimated response of monthly seasonally adjusted industrial production in the four BRICS region to a </w:t>
      </w:r>
      <w:r w:rsidR="00BA0494">
        <w:rPr>
          <w:rFonts w:ascii="Cambria" w:hAnsi="Cambria"/>
          <w:color w:val="000000" w:themeColor="text1"/>
          <w:sz w:val="20"/>
          <w:szCs w:val="20"/>
          <w:highlight w:val="yellow"/>
        </w:rPr>
        <w:t>one standard deviation</w:t>
      </w:r>
      <w:r w:rsidRPr="00127C5C">
        <w:rPr>
          <w:rFonts w:ascii="Cambria" w:hAnsi="Cambria"/>
          <w:color w:val="000000" w:themeColor="text1"/>
          <w:sz w:val="20"/>
          <w:szCs w:val="20"/>
          <w:highlight w:val="yellow"/>
        </w:rPr>
        <w:t xml:space="preserve"> shock. Shaded areas represent one standard deviation confidence intervals. Standard errors are bootstrapped as in Gertler &amp; Karadi (2015). The BRICS industrial production data is from World Bank Global Economic Monitor. Sample: February 1997 - December 2017. The sources for shocks are described in the text. </w:t>
      </w:r>
      <w:r w:rsidRPr="00127C5C">
        <w:rPr>
          <w:rFonts w:ascii="Cambria" w:hAnsi="Cambria"/>
          <w:i/>
          <w:iCs/>
          <w:color w:val="000000" w:themeColor="text1"/>
          <w:sz w:val="20"/>
          <w:szCs w:val="20"/>
          <w:highlight w:val="yellow"/>
        </w:rPr>
        <w:t>Authors’ own calculations</w:t>
      </w:r>
      <w:r w:rsidRPr="00127C5C">
        <w:rPr>
          <w:rFonts w:ascii="Cambria" w:hAnsi="Cambria"/>
          <w:color w:val="000000" w:themeColor="text1"/>
          <w:sz w:val="20"/>
          <w:szCs w:val="20"/>
          <w:highlight w:val="yellow"/>
        </w:rPr>
        <w:t>.</w:t>
      </w:r>
      <w:r w:rsidRPr="00127C5C">
        <w:rPr>
          <w:rFonts w:ascii="Cambria" w:hAnsi="Cambria"/>
          <w:color w:val="000000" w:themeColor="text1"/>
          <w:sz w:val="20"/>
          <w:szCs w:val="20"/>
        </w:rPr>
        <w:t xml:space="preserve"> </w:t>
      </w:r>
    </w:p>
    <w:p w14:paraId="7A1C25D5" w14:textId="192C066B" w:rsidR="00F92C83" w:rsidRPr="009C6CD0" w:rsidRDefault="00B700B0"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FIGURE </w:t>
      </w:r>
      <w:r w:rsidR="00127C5C">
        <w:rPr>
          <w:rFonts w:ascii="Cambria" w:hAnsi="Cambria"/>
          <w:color w:val="000000" w:themeColor="text1"/>
          <w:sz w:val="24"/>
          <w:szCs w:val="24"/>
        </w:rPr>
        <w:t>4</w:t>
      </w:r>
      <w:r w:rsidRPr="009C6CD0">
        <w:rPr>
          <w:rFonts w:ascii="Cambria" w:hAnsi="Cambria"/>
          <w:color w:val="000000" w:themeColor="text1"/>
          <w:sz w:val="24"/>
          <w:szCs w:val="24"/>
        </w:rPr>
        <w:t xml:space="preserve"> </w:t>
      </w:r>
      <w:r w:rsidR="00F92C83" w:rsidRPr="009C6CD0">
        <w:rPr>
          <w:rFonts w:ascii="Cambria" w:hAnsi="Cambria"/>
          <w:color w:val="000000" w:themeColor="text1"/>
          <w:sz w:val="24"/>
          <w:szCs w:val="24"/>
        </w:rPr>
        <w:t xml:space="preserve">plots the impulse responses of industrial production for BRICS countries (Brazil, Russia, India, China and South Africa).  The broad pattern of responses for these countries is similar to that of world industrial production qualitatively.  Quantitatively, the responses are slightly smaller.  For both the US monetary policy shock and economic policy uncertainty shock, the peak fall is around </w:t>
      </w:r>
      <w:r w:rsidR="00FC0B5F">
        <w:rPr>
          <w:rFonts w:ascii="Cambria" w:hAnsi="Cambria"/>
          <w:color w:val="000000" w:themeColor="text1"/>
          <w:sz w:val="24"/>
          <w:szCs w:val="24"/>
        </w:rPr>
        <w:t>–</w:t>
      </w:r>
      <w:r w:rsidR="00F92C83" w:rsidRPr="009C6CD0">
        <w:rPr>
          <w:rFonts w:ascii="Cambria" w:hAnsi="Cambria"/>
          <w:color w:val="000000" w:themeColor="text1"/>
          <w:sz w:val="24"/>
          <w:szCs w:val="24"/>
        </w:rPr>
        <w:t xml:space="preserve">0.25% (relative to roughly </w:t>
      </w:r>
      <w:r w:rsidR="0094466A">
        <w:rPr>
          <w:rFonts w:ascii="Cambria" w:hAnsi="Cambria"/>
          <w:color w:val="000000" w:themeColor="text1"/>
          <w:sz w:val="24"/>
          <w:szCs w:val="24"/>
        </w:rPr>
        <w:softHyphen/>
      </w:r>
      <w:r w:rsidR="005D24B2">
        <w:rPr>
          <w:rFonts w:ascii="Cambria" w:hAnsi="Cambria"/>
          <w:color w:val="000000" w:themeColor="text1"/>
          <w:sz w:val="24"/>
          <w:szCs w:val="24"/>
        </w:rPr>
        <w:softHyphen/>
        <w:t>–</w:t>
      </w:r>
      <w:r w:rsidR="00F92C83" w:rsidRPr="009C6CD0">
        <w:rPr>
          <w:rFonts w:ascii="Cambria" w:hAnsi="Cambria"/>
          <w:color w:val="000000" w:themeColor="text1"/>
          <w:sz w:val="24"/>
          <w:szCs w:val="24"/>
        </w:rPr>
        <w:t>0.4% for world index). We do see a notable difference in response to the geopolitical risk shock.  After this shock, BRICS industrial production actually rises slightly on impact before falling.  However, the magnitude of the fall is quite small and is statistically insignificant. Thus, while geopolitical risk shocks had a clear adverse effect on OECD countries, there appears not to be much of an effect on BRICS countries.  Finally, the response to oil supply shocks is quite similar to the world industrial production case.</w:t>
      </w:r>
    </w:p>
    <w:p w14:paraId="24E45850" w14:textId="77777777" w:rsidR="00F92C83" w:rsidRPr="009C6CD0" w:rsidRDefault="00F92C83" w:rsidP="009C6CD0">
      <w:pPr>
        <w:jc w:val="both"/>
        <w:rPr>
          <w:rFonts w:ascii="Cambria" w:hAnsi="Cambria"/>
          <w:color w:val="000000" w:themeColor="text1"/>
          <w:sz w:val="24"/>
          <w:szCs w:val="24"/>
        </w:rPr>
      </w:pPr>
    </w:p>
    <w:p w14:paraId="671CB952" w14:textId="77777777"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In summary, we have established that adverse increases in our four shock measures have substantial and statistically significant on world industrial production and a somewhat smaller effect on industrial production in the BRICS countries.  This establishes a simple benchmark for comparing the response of Indian economic activity, which we undertake next.</w:t>
      </w:r>
    </w:p>
    <w:p w14:paraId="62556ABB" w14:textId="77777777" w:rsidR="00F92C83" w:rsidRPr="009C6CD0" w:rsidRDefault="00F92C83" w:rsidP="009C6CD0">
      <w:pPr>
        <w:jc w:val="both"/>
        <w:rPr>
          <w:rFonts w:ascii="Cambria" w:hAnsi="Cambria"/>
          <w:color w:val="000000" w:themeColor="text1"/>
          <w:sz w:val="24"/>
          <w:szCs w:val="24"/>
        </w:rPr>
      </w:pPr>
    </w:p>
    <w:p w14:paraId="6985E004" w14:textId="1AB1989E" w:rsidR="00F92C83" w:rsidRPr="00516E4C" w:rsidRDefault="004B1986" w:rsidP="009C6CD0">
      <w:pPr>
        <w:jc w:val="both"/>
        <w:rPr>
          <w:rFonts w:ascii="Cambria" w:hAnsi="Cambria"/>
          <w:b/>
          <w:i/>
          <w:color w:val="000000" w:themeColor="text1"/>
          <w:sz w:val="24"/>
          <w:szCs w:val="24"/>
        </w:rPr>
      </w:pPr>
      <w:r w:rsidRPr="00516E4C">
        <w:rPr>
          <w:rFonts w:ascii="Cambria" w:hAnsi="Cambria"/>
          <w:b/>
          <w:i/>
          <w:color w:val="000000" w:themeColor="text1"/>
          <w:sz w:val="24"/>
          <w:szCs w:val="24"/>
        </w:rPr>
        <w:t xml:space="preserve">4.2 </w:t>
      </w:r>
      <w:r w:rsidR="00F92C83" w:rsidRPr="00516E4C">
        <w:rPr>
          <w:rFonts w:ascii="Cambria" w:hAnsi="Cambria"/>
          <w:b/>
          <w:i/>
          <w:color w:val="000000" w:themeColor="text1"/>
          <w:sz w:val="24"/>
          <w:szCs w:val="24"/>
        </w:rPr>
        <w:t>Impulse responses for India economy</w:t>
      </w:r>
    </w:p>
    <w:p w14:paraId="4FEFDFCF" w14:textId="7F322DF6"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 In this section we present the impulse responses for the Indian macroeconomic and financial market variables. We have done the estimation using both the SVAR and LP frameworks outlined above. The results are consistent with both methods, so we relegate the LP estimation results to the appendix.  From an econometric perspective, SVARs and local projections should give similar results as long as certain conditions about the sufficiency of the information set are met. </w:t>
      </w:r>
      <w:r w:rsidR="007751C2" w:rsidRPr="009C6CD0">
        <w:rPr>
          <w:rFonts w:ascii="Cambria" w:hAnsi="Cambria"/>
          <w:color w:val="000000" w:themeColor="text1"/>
          <w:sz w:val="24"/>
          <w:szCs w:val="24"/>
        </w:rPr>
        <w:t>Overall,</w:t>
      </w:r>
      <w:r w:rsidRPr="009C6CD0">
        <w:rPr>
          <w:rFonts w:ascii="Cambria" w:hAnsi="Cambria"/>
          <w:color w:val="000000" w:themeColor="text1"/>
          <w:sz w:val="24"/>
          <w:szCs w:val="24"/>
        </w:rPr>
        <w:t xml:space="preserve"> we find similar results using both approaches which is reassuring.  For the rest of this section we present results using the SVAR framework and the local projection results are presented in the appendix.</w:t>
      </w:r>
    </w:p>
    <w:p w14:paraId="4069D753" w14:textId="77777777" w:rsidR="00F92C83" w:rsidRPr="009C6CD0" w:rsidRDefault="00F92C83" w:rsidP="009C6CD0">
      <w:pPr>
        <w:jc w:val="both"/>
        <w:rPr>
          <w:rFonts w:ascii="Cambria" w:hAnsi="Cambria"/>
          <w:color w:val="000000" w:themeColor="text1"/>
          <w:sz w:val="24"/>
          <w:szCs w:val="24"/>
        </w:rPr>
      </w:pPr>
    </w:p>
    <w:p w14:paraId="37765DCD" w14:textId="56A0E2EC" w:rsidR="00F92C83" w:rsidRPr="009C6CD0" w:rsidRDefault="00F92C83" w:rsidP="009C6CD0">
      <w:pPr>
        <w:pStyle w:val="NormalWeb"/>
        <w:jc w:val="both"/>
        <w:rPr>
          <w:rFonts w:ascii="Cambria" w:hAnsi="Cambria"/>
          <w:color w:val="000000" w:themeColor="text1"/>
        </w:rPr>
      </w:pPr>
      <w:r w:rsidRPr="009C6CD0">
        <w:rPr>
          <w:rFonts w:ascii="Cambria" w:hAnsi="Cambria"/>
          <w:color w:val="000000" w:themeColor="text1"/>
        </w:rPr>
        <w:t>We estimate the impulse response functions for six Indian macro and financial variables available at monthly frequency: industrial production, consumer price index, nominal exchange rate USD/</w:t>
      </w:r>
      <w:r w:rsidR="00B55437" w:rsidRPr="009C6CD0">
        <w:rPr>
          <w:rFonts w:ascii="Cambria" w:hAnsi="Cambria"/>
          <w:color w:val="000000" w:themeColor="text1"/>
        </w:rPr>
        <w:t>INR, yields</w:t>
      </w:r>
      <w:r w:rsidRPr="009C6CD0">
        <w:rPr>
          <w:rFonts w:ascii="Cambria" w:hAnsi="Cambria"/>
          <w:color w:val="000000" w:themeColor="text1"/>
        </w:rPr>
        <w:t xml:space="preserve"> on </w:t>
      </w:r>
      <w:r w:rsidR="00051765" w:rsidRPr="009C6CD0">
        <w:rPr>
          <w:rFonts w:ascii="Cambria" w:hAnsi="Cambria"/>
          <w:color w:val="000000" w:themeColor="text1"/>
        </w:rPr>
        <w:t>ten-year</w:t>
      </w:r>
      <w:r w:rsidRPr="009C6CD0">
        <w:rPr>
          <w:rFonts w:ascii="Cambria" w:hAnsi="Cambria"/>
          <w:color w:val="000000" w:themeColor="text1"/>
        </w:rPr>
        <w:t xml:space="preserve"> government bonds, stock market index and USD value of total foreign reserves (minus gold) as a measure of international liquidity (coded as </w:t>
      </w:r>
      <w:r w:rsidRPr="009C6CD0">
        <w:rPr>
          <w:rFonts w:ascii="Cambria" w:hAnsi="Cambria"/>
          <w:color w:val="000000" w:themeColor="text1"/>
        </w:rPr>
        <w:lastRenderedPageBreak/>
        <w:t xml:space="preserve">RAXG_USD in IMF/IFS). Following the recent trend in the empirical macroeconomics literature (see for example </w:t>
      </w:r>
      <w:r w:rsidR="00121146" w:rsidRPr="009C6CD0">
        <w:rPr>
          <w:rFonts w:ascii="Cambria" w:hAnsi="Cambria"/>
          <w:color w:val="000000" w:themeColor="text1"/>
        </w:rPr>
        <w:t xml:space="preserve">Gertler &amp; Karadi (2015), </w:t>
      </w:r>
      <w:r w:rsidRPr="009C6CD0">
        <w:rPr>
          <w:rFonts w:ascii="Cambria" w:hAnsi="Cambria"/>
          <w:color w:val="000000" w:themeColor="text1"/>
        </w:rPr>
        <w:t xml:space="preserve">we run the SVAR in log levels.  Specifically, we put the </w:t>
      </w:r>
      <w:r w:rsidR="00051765" w:rsidRPr="009C6CD0">
        <w:rPr>
          <w:rFonts w:ascii="Cambria" w:hAnsi="Cambria"/>
          <w:color w:val="000000" w:themeColor="text1"/>
        </w:rPr>
        <w:t>10-year</w:t>
      </w:r>
      <w:r w:rsidRPr="009C6CD0">
        <w:rPr>
          <w:rFonts w:ascii="Cambria" w:hAnsi="Cambria"/>
          <w:color w:val="000000" w:themeColor="text1"/>
        </w:rPr>
        <w:t xml:space="preserve"> bond rate in levels (percentage points) and for all the other variables we take the log of the variable and then multiply by 100.  We also check the robustness of our results using a </w:t>
      </w:r>
      <w:r w:rsidR="00945BD6">
        <w:rPr>
          <w:rFonts w:ascii="Cambria" w:hAnsi="Cambria"/>
          <w:color w:val="000000" w:themeColor="text1"/>
        </w:rPr>
        <w:t>“</w:t>
      </w:r>
      <w:r w:rsidRPr="009C6CD0">
        <w:rPr>
          <w:rFonts w:ascii="Cambria" w:hAnsi="Cambria"/>
          <w:color w:val="000000" w:themeColor="text1"/>
        </w:rPr>
        <w:t>gaps</w:t>
      </w:r>
      <w:r w:rsidR="00945BD6">
        <w:rPr>
          <w:rFonts w:ascii="Cambria" w:hAnsi="Cambria"/>
          <w:color w:val="000000" w:themeColor="text1"/>
        </w:rPr>
        <w:t>”</w:t>
      </w:r>
      <w:r w:rsidRPr="009C6CD0">
        <w:rPr>
          <w:rFonts w:ascii="Cambria" w:hAnsi="Cambria"/>
          <w:color w:val="000000" w:themeColor="text1"/>
        </w:rPr>
        <w:t xml:space="preserve"> specification.  In this case we de-trend the seasonally-adjusted industrial production using HP filter with monthly frequency smoothing parameter of 14400. Further, we take the year-over-year percent change in the CPI price index to calculate the inflation. rate.  This specification is similar to the one used recently by </w:t>
      </w:r>
      <w:r w:rsidR="00AC62A6" w:rsidRPr="009C6CD0">
        <w:rPr>
          <w:rFonts w:ascii="Cambria" w:hAnsi="Cambria"/>
          <w:color w:val="000000" w:themeColor="text1"/>
        </w:rPr>
        <w:t xml:space="preserve">Mishra et al. (2016). </w:t>
      </w:r>
      <w:r w:rsidRPr="009C6CD0">
        <w:rPr>
          <w:rFonts w:ascii="Cambria" w:hAnsi="Cambria"/>
          <w:color w:val="000000" w:themeColor="text1"/>
        </w:rPr>
        <w:t>We find that the results are similar using this approach and thus do not report these impulse responses in the main draft.</w:t>
      </w:r>
    </w:p>
    <w:p w14:paraId="531F9118" w14:textId="10145294" w:rsidR="00F92C83"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The SVAR is estimated with twelve lags.  All figures are presented as responses to a one standard deviation </w:t>
      </w:r>
      <w:r w:rsidR="00632E3A" w:rsidRPr="009C6CD0">
        <w:rPr>
          <w:rFonts w:ascii="Cambria" w:hAnsi="Cambria"/>
          <w:color w:val="000000" w:themeColor="text1"/>
          <w:sz w:val="24"/>
          <w:szCs w:val="24"/>
        </w:rPr>
        <w:t>“</w:t>
      </w:r>
      <w:r w:rsidRPr="009C6CD0">
        <w:rPr>
          <w:rFonts w:ascii="Cambria" w:hAnsi="Cambria"/>
          <w:color w:val="000000" w:themeColor="text1"/>
          <w:sz w:val="24"/>
          <w:szCs w:val="24"/>
        </w:rPr>
        <w:t>adverse</w:t>
      </w:r>
      <w:r w:rsidR="00632E3A" w:rsidRPr="009C6CD0">
        <w:rPr>
          <w:rFonts w:ascii="Cambria" w:hAnsi="Cambria"/>
          <w:color w:val="000000" w:themeColor="text1"/>
          <w:sz w:val="24"/>
          <w:szCs w:val="24"/>
        </w:rPr>
        <w:t>”</w:t>
      </w:r>
      <w:r w:rsidRPr="009C6CD0">
        <w:rPr>
          <w:rFonts w:ascii="Cambria" w:hAnsi="Cambria"/>
          <w:color w:val="000000" w:themeColor="text1"/>
          <w:sz w:val="24"/>
          <w:szCs w:val="24"/>
        </w:rPr>
        <w:t xml:space="preserve"> shock. This means that based on the responses shown for world and BRICS industrial production these shocks are expected to lower economic activity, for example an increase in U.S. interest rates or an increase in the global price of oil.  One standard deviation confidence </w:t>
      </w:r>
      <w:r w:rsidR="00E37BFD" w:rsidRPr="009C6CD0">
        <w:rPr>
          <w:rFonts w:ascii="Cambria" w:hAnsi="Cambria"/>
          <w:color w:val="000000" w:themeColor="text1"/>
          <w:sz w:val="24"/>
          <w:szCs w:val="24"/>
        </w:rPr>
        <w:t>interval</w:t>
      </w:r>
      <w:r w:rsidRPr="009C6CD0">
        <w:rPr>
          <w:rFonts w:ascii="Cambria" w:hAnsi="Cambria"/>
          <w:color w:val="000000" w:themeColor="text1"/>
          <w:sz w:val="24"/>
          <w:szCs w:val="24"/>
        </w:rPr>
        <w:t xml:space="preserve"> constructed using a bootstrap algorithm are reported on all the impulse response figures.</w:t>
      </w:r>
    </w:p>
    <w:p w14:paraId="76B0BD25" w14:textId="77777777" w:rsidR="00A0519F" w:rsidRPr="009C6CD0" w:rsidRDefault="00A0519F" w:rsidP="009C6CD0">
      <w:pPr>
        <w:jc w:val="both"/>
        <w:rPr>
          <w:rFonts w:ascii="Cambria" w:hAnsi="Cambria"/>
          <w:color w:val="000000" w:themeColor="text1"/>
          <w:sz w:val="24"/>
          <w:szCs w:val="24"/>
        </w:rPr>
      </w:pPr>
    </w:p>
    <w:p w14:paraId="7D0E30A3" w14:textId="1E572F77" w:rsidR="00F92C83" w:rsidRPr="00031F50" w:rsidRDefault="00CE5CF3" w:rsidP="009C6CD0">
      <w:pPr>
        <w:jc w:val="both"/>
        <w:rPr>
          <w:rFonts w:ascii="Cambria" w:hAnsi="Cambria"/>
          <w:b/>
          <w:i/>
          <w:color w:val="000000" w:themeColor="text1"/>
          <w:sz w:val="24"/>
          <w:szCs w:val="24"/>
          <w:u w:val="single"/>
        </w:rPr>
      </w:pPr>
      <w:r w:rsidRPr="00031F50">
        <w:rPr>
          <w:rFonts w:ascii="Cambria" w:hAnsi="Cambria"/>
          <w:b/>
          <w:i/>
          <w:color w:val="000000" w:themeColor="text1"/>
          <w:sz w:val="24"/>
          <w:szCs w:val="24"/>
          <w:u w:val="single"/>
        </w:rPr>
        <w:t xml:space="preserve">4.2.1 </w:t>
      </w:r>
      <w:r w:rsidR="00F92C83" w:rsidRPr="00031F50">
        <w:rPr>
          <w:rFonts w:ascii="Cambria" w:hAnsi="Cambria"/>
          <w:b/>
          <w:i/>
          <w:color w:val="000000" w:themeColor="text1"/>
          <w:sz w:val="24"/>
          <w:szCs w:val="24"/>
          <w:u w:val="single"/>
        </w:rPr>
        <w:t>Monetary policy shocks</w:t>
      </w:r>
    </w:p>
    <w:p w14:paraId="009F3660" w14:textId="75553C49" w:rsidR="00F92C83" w:rsidRDefault="00AF5E78" w:rsidP="009C6CD0">
      <w:pPr>
        <w:pStyle w:val="NormalWeb"/>
        <w:jc w:val="both"/>
        <w:rPr>
          <w:rFonts w:ascii="Cambria" w:hAnsi="Cambria"/>
          <w:color w:val="000000" w:themeColor="text1"/>
        </w:rPr>
      </w:pPr>
      <w:r w:rsidRPr="009C6CD0">
        <w:rPr>
          <w:rFonts w:ascii="Cambria" w:hAnsi="Cambria"/>
          <w:color w:val="000000" w:themeColor="text1"/>
        </w:rPr>
        <w:t>FIGURE 5</w:t>
      </w:r>
      <w:r w:rsidR="00F92C83" w:rsidRPr="009C6CD0">
        <w:rPr>
          <w:rFonts w:ascii="Cambria" w:hAnsi="Cambria"/>
          <w:color w:val="000000" w:themeColor="text1"/>
        </w:rPr>
        <w:t xml:space="preserve"> presents the impulse response to a contractionary monetary policy shock.  On impact, the rupee depreciates and reserves and the stock market fall as has been documented in the literature, see for example </w:t>
      </w:r>
      <w:r w:rsidR="00F93568" w:rsidRPr="009C6CD0">
        <w:rPr>
          <w:rFonts w:ascii="Cambria" w:hAnsi="Cambria"/>
          <w:color w:val="000000" w:themeColor="text1"/>
        </w:rPr>
        <w:t>Lakdawala (2018)</w:t>
      </w:r>
      <w:r w:rsidR="00C42289" w:rsidRPr="009C6CD0">
        <w:rPr>
          <w:rFonts w:ascii="Cambria" w:hAnsi="Cambria"/>
          <w:color w:val="000000" w:themeColor="text1"/>
        </w:rPr>
        <w:t xml:space="preserve">. </w:t>
      </w:r>
      <w:r w:rsidR="00F92C83" w:rsidRPr="009C6CD0">
        <w:rPr>
          <w:rFonts w:ascii="Cambria" w:hAnsi="Cambria"/>
          <w:color w:val="000000" w:themeColor="text1"/>
        </w:rPr>
        <w:t xml:space="preserve">These variables take about a year to a year and a half to recover from this shock.  Overall, these effects are statistically significant and sizeable for reserves and the stock market with a peak fall of around 1.5% and </w:t>
      </w:r>
      <w:r w:rsidR="003B19D5" w:rsidRPr="009C6CD0">
        <w:rPr>
          <w:rFonts w:ascii="Cambria" w:hAnsi="Cambria"/>
          <w:color w:val="000000" w:themeColor="text1"/>
        </w:rPr>
        <w:t>0</w:t>
      </w:r>
      <w:r w:rsidR="00F92C83" w:rsidRPr="009C6CD0">
        <w:rPr>
          <w:rFonts w:ascii="Cambria" w:hAnsi="Cambria"/>
          <w:color w:val="000000" w:themeColor="text1"/>
        </w:rPr>
        <w:t xml:space="preserve">.75% respectively. The response of prices, output and the government bond rate </w:t>
      </w:r>
      <w:r w:rsidR="00C56740" w:rsidRPr="009C6CD0">
        <w:rPr>
          <w:rFonts w:ascii="Cambria" w:hAnsi="Cambria"/>
          <w:color w:val="000000" w:themeColor="text1"/>
        </w:rPr>
        <w:t>are</w:t>
      </w:r>
      <w:r w:rsidR="00F92C83" w:rsidRPr="009C6CD0">
        <w:rPr>
          <w:rFonts w:ascii="Cambria" w:hAnsi="Cambria"/>
          <w:color w:val="000000" w:themeColor="text1"/>
        </w:rPr>
        <w:t xml:space="preserve"> not significant on impact but all three variables display a fall around the 6 </w:t>
      </w:r>
      <w:r w:rsidR="007963F8" w:rsidRPr="009C6CD0">
        <w:rPr>
          <w:rFonts w:ascii="Cambria" w:hAnsi="Cambria"/>
          <w:color w:val="000000" w:themeColor="text1"/>
        </w:rPr>
        <w:t>months</w:t>
      </w:r>
      <w:r w:rsidR="00F92C83" w:rsidRPr="009C6CD0">
        <w:rPr>
          <w:rFonts w:ascii="Cambria" w:hAnsi="Cambria"/>
          <w:color w:val="000000" w:themeColor="text1"/>
        </w:rPr>
        <w:t xml:space="preserve"> to </w:t>
      </w:r>
      <w:r w:rsidR="00C71F0B" w:rsidRPr="009C6CD0">
        <w:rPr>
          <w:rFonts w:ascii="Cambria" w:hAnsi="Cambria"/>
          <w:color w:val="000000" w:themeColor="text1"/>
        </w:rPr>
        <w:t>1-year</w:t>
      </w:r>
      <w:r w:rsidR="00F92C83" w:rsidRPr="009C6CD0">
        <w:rPr>
          <w:rFonts w:ascii="Cambria" w:hAnsi="Cambria"/>
          <w:color w:val="000000" w:themeColor="text1"/>
        </w:rPr>
        <w:t xml:space="preserve"> mark. The peak fall in Indian industrial production is around 0.3%, which is quite similar to the fall in the BRICS industrial production displayed above and slightly smaller than the peak fall in world industrial production.  However, Indian industrial production does not display the inertial and persistent response and has almost recovered around the </w:t>
      </w:r>
      <w:r w:rsidR="00C54D3D" w:rsidRPr="009C6CD0">
        <w:rPr>
          <w:rFonts w:ascii="Cambria" w:hAnsi="Cambria"/>
          <w:color w:val="000000" w:themeColor="text1"/>
        </w:rPr>
        <w:t>15-month</w:t>
      </w:r>
      <w:r w:rsidR="00F92C83" w:rsidRPr="009C6CD0">
        <w:rPr>
          <w:rFonts w:ascii="Cambria" w:hAnsi="Cambria"/>
          <w:color w:val="000000" w:themeColor="text1"/>
        </w:rPr>
        <w:t xml:space="preserve"> mark.</w:t>
      </w:r>
    </w:p>
    <w:p w14:paraId="4DC4C438" w14:textId="79FF4C3B" w:rsidR="00A0519F" w:rsidRPr="00A0519F" w:rsidRDefault="00A0519F" w:rsidP="00A0519F">
      <w:pPr>
        <w:pStyle w:val="NormalWeb"/>
        <w:rPr>
          <w:highlight w:val="yellow"/>
        </w:rPr>
      </w:pPr>
      <w:r w:rsidRPr="00A0519F">
        <w:rPr>
          <w:rFonts w:ascii="Cambria" w:hAnsi="Cambria" w:cs="Helvetica"/>
          <w:color w:val="000000" w:themeColor="text1"/>
          <w:sz w:val="22"/>
          <w:szCs w:val="22"/>
          <w:highlight w:val="yellow"/>
        </w:rPr>
        <w:t xml:space="preserve">FIGURE </w:t>
      </w:r>
      <w:r w:rsidRPr="00A0519F">
        <w:rPr>
          <w:rFonts w:ascii="Cambria" w:hAnsi="Cambria"/>
          <w:sz w:val="22"/>
          <w:szCs w:val="22"/>
          <w:highlight w:val="yellow"/>
        </w:rPr>
        <w:t xml:space="preserve">5: </w:t>
      </w:r>
      <w:r w:rsidRPr="00A0519F">
        <w:rPr>
          <w:rFonts w:ascii="NimbusRomNo9L" w:hAnsi="NimbusRomNo9L"/>
          <w:highlight w:val="yellow"/>
        </w:rPr>
        <w:t xml:space="preserve">SVAR response to monetary policy shock </w:t>
      </w:r>
    </w:p>
    <w:p w14:paraId="10A86945" w14:textId="609114A6" w:rsidR="00A0519F" w:rsidRPr="00A0519F" w:rsidRDefault="00A0519F" w:rsidP="00A0519F">
      <w:pPr>
        <w:pStyle w:val="NormalWeb"/>
        <w:jc w:val="both"/>
        <w:rPr>
          <w:rFonts w:ascii="Cambria" w:hAnsi="Cambria"/>
          <w:color w:val="000000" w:themeColor="text1"/>
          <w:sz w:val="22"/>
          <w:szCs w:val="22"/>
          <w:highlight w:val="yellow"/>
        </w:rPr>
      </w:pPr>
      <w:r w:rsidRPr="00A0519F">
        <w:rPr>
          <w:rFonts w:ascii="Cambria" w:hAnsi="Cambria" w:cs="Helvetica"/>
          <w:color w:val="000000" w:themeColor="text1"/>
          <w:sz w:val="22"/>
          <w:szCs w:val="22"/>
          <w:highlight w:val="yellow"/>
        </w:rPr>
        <w:t xml:space="preserve">INSERT FIGURE 5 HERE </w:t>
      </w:r>
    </w:p>
    <w:p w14:paraId="61F6A27F" w14:textId="3254F812" w:rsidR="00A0519F" w:rsidRPr="00FD0C07" w:rsidRDefault="00A0519F" w:rsidP="009C6CD0">
      <w:pPr>
        <w:pStyle w:val="NormalWeb"/>
        <w:jc w:val="both"/>
        <w:rPr>
          <w:color w:val="000000" w:themeColor="text1"/>
        </w:rPr>
      </w:pPr>
      <w:r w:rsidRPr="00A0519F">
        <w:rPr>
          <w:rFonts w:ascii="Cambria" w:hAnsi="Cambria" w:cs="Helvetica"/>
          <w:i/>
          <w:color w:val="000000" w:themeColor="text1"/>
          <w:sz w:val="20"/>
          <w:szCs w:val="20"/>
          <w:highlight w:val="yellow"/>
        </w:rPr>
        <w:t>Notes:</w:t>
      </w:r>
      <w:r w:rsidRPr="00A0519F">
        <w:rPr>
          <w:rFonts w:ascii="Cambria" w:hAnsi="Cambria" w:cs="Helvetica"/>
          <w:color w:val="000000" w:themeColor="text1"/>
          <w:sz w:val="20"/>
          <w:szCs w:val="20"/>
          <w:highlight w:val="yellow"/>
        </w:rPr>
        <w:t xml:space="preserve"> </w:t>
      </w:r>
      <w:r w:rsidRPr="00A0519F">
        <w:rPr>
          <w:rFonts w:ascii="NimbusRomNo9L" w:hAnsi="NimbusRomNo9L"/>
          <w:color w:val="000000" w:themeColor="text1"/>
          <w:sz w:val="20"/>
          <w:szCs w:val="20"/>
          <w:highlight w:val="yellow"/>
        </w:rPr>
        <w:t xml:space="preserve">SVAR estimated response of monthly industrial production, consumer price index, USD/INR nominal exchange rate, </w:t>
      </w:r>
      <w:r w:rsidR="00A35B4D" w:rsidRPr="00A0519F">
        <w:rPr>
          <w:rFonts w:ascii="NimbusRomNo9L" w:hAnsi="NimbusRomNo9L"/>
          <w:color w:val="000000" w:themeColor="text1"/>
          <w:sz w:val="20"/>
          <w:szCs w:val="20"/>
          <w:highlight w:val="yellow"/>
        </w:rPr>
        <w:t>ten-year</w:t>
      </w:r>
      <w:r w:rsidRPr="00A0519F">
        <w:rPr>
          <w:rFonts w:ascii="NimbusRomNo9L" w:hAnsi="NimbusRomNo9L"/>
          <w:color w:val="000000" w:themeColor="text1"/>
          <w:sz w:val="20"/>
          <w:szCs w:val="20"/>
          <w:highlight w:val="yellow"/>
        </w:rPr>
        <w:t xml:space="preserve"> government bond rate, stock market index, and total reserves (excluding gold) outstanding to a </w:t>
      </w:r>
      <w:r w:rsidR="006D51F9">
        <w:rPr>
          <w:rFonts w:ascii="NimbusRomNo9L" w:hAnsi="NimbusRomNo9L"/>
          <w:color w:val="000000" w:themeColor="text1"/>
          <w:sz w:val="20"/>
          <w:szCs w:val="20"/>
          <w:highlight w:val="yellow"/>
        </w:rPr>
        <w:t>one</w:t>
      </w:r>
      <w:r w:rsidRPr="00A0519F">
        <w:rPr>
          <w:rFonts w:ascii="NimbusRomNo9L" w:hAnsi="NimbusRomNo9L"/>
          <w:color w:val="000000" w:themeColor="text1"/>
          <w:sz w:val="20"/>
          <w:szCs w:val="20"/>
          <w:highlight w:val="yellow"/>
        </w:rPr>
        <w:t xml:space="preserve"> st</w:t>
      </w:r>
      <w:r w:rsidR="00B46AD1">
        <w:rPr>
          <w:rFonts w:ascii="NimbusRomNo9L" w:hAnsi="NimbusRomNo9L"/>
          <w:color w:val="000000" w:themeColor="text1"/>
          <w:sz w:val="20"/>
          <w:szCs w:val="20"/>
          <w:highlight w:val="yellow"/>
        </w:rPr>
        <w:t>andard</w:t>
      </w:r>
      <w:r w:rsidRPr="00A0519F">
        <w:rPr>
          <w:rFonts w:ascii="NimbusRomNo9L" w:hAnsi="NimbusRomNo9L"/>
          <w:color w:val="000000" w:themeColor="text1"/>
          <w:sz w:val="20"/>
          <w:szCs w:val="20"/>
          <w:highlight w:val="yellow"/>
        </w:rPr>
        <w:t xml:space="preserve"> deviation identified </w:t>
      </w:r>
      <w:r w:rsidR="00064CE4">
        <w:rPr>
          <w:rFonts w:ascii="NimbusRomNo9L" w:hAnsi="NimbusRomNo9L"/>
          <w:color w:val="000000" w:themeColor="text1"/>
          <w:sz w:val="20"/>
          <w:szCs w:val="20"/>
          <w:highlight w:val="yellow"/>
        </w:rPr>
        <w:t xml:space="preserve">US </w:t>
      </w:r>
      <w:r w:rsidR="002C7DAA">
        <w:rPr>
          <w:rFonts w:ascii="NimbusRomNo9L" w:hAnsi="NimbusRomNo9L"/>
          <w:color w:val="000000" w:themeColor="text1"/>
          <w:sz w:val="20"/>
          <w:szCs w:val="20"/>
          <w:highlight w:val="yellow"/>
        </w:rPr>
        <w:t>monetary policy shock</w:t>
      </w:r>
      <w:r w:rsidRPr="00A0519F">
        <w:rPr>
          <w:rFonts w:ascii="NimbusRomNo9L" w:hAnsi="NimbusRomNo9L"/>
          <w:color w:val="000000" w:themeColor="text1"/>
          <w:sz w:val="20"/>
          <w:szCs w:val="20"/>
          <w:highlight w:val="yellow"/>
        </w:rPr>
        <w:t>. Shaded areas represent one standard deviation confidence intervals. Standard errors are bootstrapped as in Gertler &amp; Karadi (2015). The sources for data series are described in the text. Sample: February 199</w:t>
      </w:r>
      <w:r w:rsidR="007831DF">
        <w:rPr>
          <w:rFonts w:ascii="NimbusRomNo9L" w:hAnsi="NimbusRomNo9L"/>
          <w:color w:val="000000" w:themeColor="text1"/>
          <w:sz w:val="20"/>
          <w:szCs w:val="20"/>
          <w:highlight w:val="yellow"/>
        </w:rPr>
        <w:t>4</w:t>
      </w:r>
      <w:r w:rsidRPr="00A0519F">
        <w:rPr>
          <w:rFonts w:ascii="NimbusRomNo9L" w:hAnsi="NimbusRomNo9L"/>
          <w:color w:val="000000" w:themeColor="text1"/>
          <w:sz w:val="20"/>
          <w:szCs w:val="20"/>
          <w:highlight w:val="yellow"/>
        </w:rPr>
        <w:t xml:space="preserve"> - December 2017. See text for details. </w:t>
      </w:r>
      <w:r w:rsidRPr="00A0519F">
        <w:rPr>
          <w:rFonts w:ascii="NimbusRomNo9L" w:hAnsi="NimbusRomNo9L"/>
          <w:i/>
          <w:iCs/>
          <w:color w:val="000000" w:themeColor="text1"/>
          <w:sz w:val="20"/>
          <w:szCs w:val="20"/>
          <w:highlight w:val="yellow"/>
        </w:rPr>
        <w:t>Authors’ own calculations</w:t>
      </w:r>
      <w:r w:rsidRPr="00A0519F">
        <w:rPr>
          <w:rFonts w:ascii="NimbusRomNo9L" w:hAnsi="NimbusRomNo9L"/>
          <w:color w:val="000000" w:themeColor="text1"/>
          <w:sz w:val="20"/>
          <w:szCs w:val="20"/>
          <w:highlight w:val="yellow"/>
        </w:rPr>
        <w:t>.</w:t>
      </w:r>
      <w:r w:rsidRPr="00A0519F">
        <w:rPr>
          <w:rFonts w:ascii="NimbusRomNo9L" w:hAnsi="NimbusRomNo9L"/>
          <w:color w:val="000000" w:themeColor="text1"/>
          <w:sz w:val="20"/>
          <w:szCs w:val="20"/>
        </w:rPr>
        <w:t xml:space="preserve"> </w:t>
      </w:r>
    </w:p>
    <w:p w14:paraId="467A7314" w14:textId="14A0B8FF"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These results are consistent with the story of the global financial cycle.  Monetary policy shocks originating in the U.S. are prorogated throughout the world through the global </w:t>
      </w:r>
      <w:r w:rsidRPr="009C6CD0">
        <w:rPr>
          <w:rFonts w:ascii="Cambria" w:hAnsi="Cambria"/>
          <w:color w:val="000000" w:themeColor="text1"/>
          <w:sz w:val="24"/>
          <w:szCs w:val="24"/>
        </w:rPr>
        <w:lastRenderedPageBreak/>
        <w:t xml:space="preserve">financial cycle.  However, we should note that relative to the size of the effect on the stock market and Dollar reserves, the effect on prices and.  </w:t>
      </w:r>
      <w:r w:rsidR="006D4517" w:rsidRPr="009C6CD0">
        <w:rPr>
          <w:rFonts w:ascii="Cambria" w:hAnsi="Cambria"/>
          <w:color w:val="000000" w:themeColor="text1"/>
          <w:sz w:val="24"/>
          <w:szCs w:val="24"/>
        </w:rPr>
        <w:t>Thus,</w:t>
      </w:r>
      <w:r w:rsidRPr="009C6CD0">
        <w:rPr>
          <w:rFonts w:ascii="Cambria" w:hAnsi="Cambria"/>
          <w:color w:val="000000" w:themeColor="text1"/>
          <w:sz w:val="24"/>
          <w:szCs w:val="24"/>
        </w:rPr>
        <w:t xml:space="preserve"> Indian economic activity is to some extent shielded from the global financial cycle.</w:t>
      </w:r>
    </w:p>
    <w:p w14:paraId="629DAB1E" w14:textId="5C250E41" w:rsidR="00F92C83" w:rsidRPr="002E7C77" w:rsidRDefault="00A46606" w:rsidP="009C6CD0">
      <w:pPr>
        <w:jc w:val="both"/>
        <w:rPr>
          <w:rFonts w:ascii="Cambria" w:hAnsi="Cambria"/>
          <w:b/>
          <w:i/>
          <w:color w:val="000000" w:themeColor="text1"/>
          <w:sz w:val="24"/>
          <w:szCs w:val="24"/>
          <w:u w:val="single"/>
        </w:rPr>
      </w:pPr>
      <w:r w:rsidRPr="002E7C77">
        <w:rPr>
          <w:rFonts w:ascii="Cambria" w:hAnsi="Cambria"/>
          <w:b/>
          <w:i/>
          <w:color w:val="000000" w:themeColor="text1"/>
          <w:sz w:val="24"/>
          <w:szCs w:val="24"/>
          <w:u w:val="single"/>
        </w:rPr>
        <w:t xml:space="preserve">4.2.2 </w:t>
      </w:r>
      <w:r w:rsidR="00F92C83" w:rsidRPr="002E7C77">
        <w:rPr>
          <w:rFonts w:ascii="Cambria" w:hAnsi="Cambria"/>
          <w:b/>
          <w:i/>
          <w:color w:val="000000" w:themeColor="text1"/>
          <w:sz w:val="24"/>
          <w:szCs w:val="24"/>
          <w:u w:val="single"/>
        </w:rPr>
        <w:t>Economic Policy Uncertainty Shocks</w:t>
      </w:r>
    </w:p>
    <w:p w14:paraId="705EFEFF" w14:textId="3B362DB4" w:rsidR="00F92C83"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The impulse responses to a one standard deviation shock that increases the economic policy uncertainty are shown in </w:t>
      </w:r>
      <w:r w:rsidR="004F7F7A" w:rsidRPr="009C6CD0">
        <w:rPr>
          <w:rFonts w:ascii="Cambria" w:hAnsi="Cambria"/>
          <w:color w:val="000000" w:themeColor="text1"/>
          <w:sz w:val="24"/>
          <w:szCs w:val="24"/>
        </w:rPr>
        <w:t>FIGURE 6</w:t>
      </w:r>
      <w:r w:rsidRPr="009C6CD0">
        <w:rPr>
          <w:rFonts w:ascii="Cambria" w:hAnsi="Cambria"/>
          <w:color w:val="000000" w:themeColor="text1"/>
          <w:sz w:val="24"/>
          <w:szCs w:val="24"/>
        </w:rPr>
        <w:t xml:space="preserve">. Industrial production has a sustained fall for over two years of around 0.2%.  The size of this effect for Indian industrial production is very similar to the size of the fall in BRICS industrial production.  This shock has larger on the financial markets that are persistent as well. The rupee depreciates and Dollar reserves and stock market falls.  Quantitatively, the stock market index falls more than 1% on impact and the peak effect is more than 2% after a couple of months. Reserves fall by a quarter percent on impact but </w:t>
      </w:r>
      <w:r w:rsidR="00115978" w:rsidRPr="009C6CD0">
        <w:rPr>
          <w:rFonts w:ascii="Cambria" w:hAnsi="Cambria"/>
          <w:color w:val="000000" w:themeColor="text1"/>
          <w:sz w:val="24"/>
          <w:szCs w:val="24"/>
        </w:rPr>
        <w:t>gradually fall to t</w:t>
      </w:r>
      <w:r w:rsidR="006765AE" w:rsidRPr="009C6CD0">
        <w:rPr>
          <w:rFonts w:ascii="Cambria" w:hAnsi="Cambria"/>
          <w:color w:val="000000" w:themeColor="text1"/>
          <w:sz w:val="24"/>
          <w:szCs w:val="24"/>
        </w:rPr>
        <w:t>r</w:t>
      </w:r>
      <w:r w:rsidR="00115978" w:rsidRPr="009C6CD0">
        <w:rPr>
          <w:rFonts w:ascii="Cambria" w:hAnsi="Cambria"/>
          <w:color w:val="000000" w:themeColor="text1"/>
          <w:sz w:val="24"/>
          <w:szCs w:val="24"/>
        </w:rPr>
        <w:t xml:space="preserve">ough </w:t>
      </w:r>
      <w:r w:rsidR="006765AE" w:rsidRPr="009C6CD0">
        <w:rPr>
          <w:rFonts w:ascii="Cambria" w:hAnsi="Cambria"/>
          <w:color w:val="000000" w:themeColor="text1"/>
          <w:sz w:val="24"/>
          <w:szCs w:val="24"/>
        </w:rPr>
        <w:t>at</w:t>
      </w:r>
      <w:r w:rsidR="00115978" w:rsidRPr="009C6CD0">
        <w:rPr>
          <w:rFonts w:ascii="Cambria" w:hAnsi="Cambria"/>
          <w:color w:val="000000" w:themeColor="text1"/>
          <w:sz w:val="24"/>
          <w:szCs w:val="24"/>
        </w:rPr>
        <w:t xml:space="preserve"> </w:t>
      </w:r>
      <w:r w:rsidRPr="009C6CD0">
        <w:rPr>
          <w:rFonts w:ascii="Cambria" w:hAnsi="Cambria"/>
          <w:color w:val="000000" w:themeColor="text1"/>
          <w:sz w:val="24"/>
          <w:szCs w:val="24"/>
        </w:rPr>
        <w:t xml:space="preserve">0.75% and staying lower for over a year.  The rupee depreciates on impact and returns back around the </w:t>
      </w:r>
      <w:r w:rsidR="005602CB" w:rsidRPr="009C6CD0">
        <w:rPr>
          <w:rFonts w:ascii="Cambria" w:hAnsi="Cambria"/>
          <w:color w:val="000000" w:themeColor="text1"/>
          <w:sz w:val="24"/>
          <w:szCs w:val="24"/>
        </w:rPr>
        <w:t>six-month</w:t>
      </w:r>
      <w:r w:rsidRPr="009C6CD0">
        <w:rPr>
          <w:rFonts w:ascii="Cambria" w:hAnsi="Cambria"/>
          <w:color w:val="000000" w:themeColor="text1"/>
          <w:sz w:val="24"/>
          <w:szCs w:val="24"/>
        </w:rPr>
        <w:t xml:space="preserve"> mark.  The government bond rate heads slightly lower around the </w:t>
      </w:r>
      <w:r w:rsidR="005602CB" w:rsidRPr="009C6CD0">
        <w:rPr>
          <w:rFonts w:ascii="Cambria" w:hAnsi="Cambria"/>
          <w:color w:val="000000" w:themeColor="text1"/>
          <w:sz w:val="24"/>
          <w:szCs w:val="24"/>
        </w:rPr>
        <w:t>six-month</w:t>
      </w:r>
      <w:r w:rsidRPr="009C6CD0">
        <w:rPr>
          <w:rFonts w:ascii="Cambria" w:hAnsi="Cambria"/>
          <w:color w:val="000000" w:themeColor="text1"/>
          <w:sz w:val="24"/>
          <w:szCs w:val="24"/>
        </w:rPr>
        <w:t xml:space="preserve"> mark before recovering. </w:t>
      </w:r>
      <w:r w:rsidR="005602CB" w:rsidRPr="009C6CD0">
        <w:rPr>
          <w:rFonts w:ascii="Cambria" w:hAnsi="Cambria"/>
          <w:color w:val="000000" w:themeColor="text1"/>
          <w:sz w:val="24"/>
          <w:szCs w:val="24"/>
        </w:rPr>
        <w:t>Thus,</w:t>
      </w:r>
      <w:r w:rsidRPr="009C6CD0">
        <w:rPr>
          <w:rFonts w:ascii="Cambria" w:hAnsi="Cambria"/>
          <w:color w:val="000000" w:themeColor="text1"/>
          <w:sz w:val="24"/>
          <w:szCs w:val="24"/>
        </w:rPr>
        <w:t xml:space="preserve"> an increase in global economic policy uncertainty is clearly detrimental to the Indian economy both immediately on impact and in the medium term.</w:t>
      </w:r>
    </w:p>
    <w:p w14:paraId="70A7905B" w14:textId="541B3A3D" w:rsidR="002C7DAA" w:rsidRPr="00C74F86" w:rsidRDefault="002C7DAA" w:rsidP="002C7DAA">
      <w:pPr>
        <w:pStyle w:val="NormalWeb"/>
        <w:rPr>
          <w:highlight w:val="yellow"/>
        </w:rPr>
      </w:pPr>
      <w:r w:rsidRPr="00C74F86">
        <w:rPr>
          <w:rFonts w:ascii="Cambria" w:hAnsi="Cambria" w:cs="Helvetica"/>
          <w:color w:val="000000" w:themeColor="text1"/>
          <w:sz w:val="22"/>
          <w:szCs w:val="22"/>
          <w:highlight w:val="yellow"/>
        </w:rPr>
        <w:t xml:space="preserve">FIGURE </w:t>
      </w:r>
      <w:r w:rsidRPr="00C74F86">
        <w:rPr>
          <w:rFonts w:ascii="Cambria" w:hAnsi="Cambria"/>
          <w:sz w:val="22"/>
          <w:szCs w:val="22"/>
          <w:highlight w:val="yellow"/>
        </w:rPr>
        <w:t xml:space="preserve">6: </w:t>
      </w:r>
      <w:r w:rsidRPr="00C74F86">
        <w:rPr>
          <w:rFonts w:ascii="NimbusRomNo9L" w:hAnsi="NimbusRomNo9L"/>
          <w:highlight w:val="yellow"/>
        </w:rPr>
        <w:t xml:space="preserve">SVAR response to economic policy uncertainty shock </w:t>
      </w:r>
    </w:p>
    <w:p w14:paraId="6759D9B5" w14:textId="6E68C174" w:rsidR="002C7DAA" w:rsidRPr="00C74F86" w:rsidRDefault="002C7DAA" w:rsidP="002C7DAA">
      <w:pPr>
        <w:pStyle w:val="NormalWeb"/>
        <w:jc w:val="both"/>
        <w:rPr>
          <w:rFonts w:ascii="Cambria" w:hAnsi="Cambria"/>
          <w:color w:val="000000" w:themeColor="text1"/>
          <w:sz w:val="22"/>
          <w:szCs w:val="22"/>
          <w:highlight w:val="yellow"/>
        </w:rPr>
      </w:pPr>
      <w:r w:rsidRPr="00C74F86">
        <w:rPr>
          <w:rFonts w:ascii="Cambria" w:hAnsi="Cambria" w:cs="Helvetica"/>
          <w:color w:val="000000" w:themeColor="text1"/>
          <w:sz w:val="22"/>
          <w:szCs w:val="22"/>
          <w:highlight w:val="yellow"/>
        </w:rPr>
        <w:t xml:space="preserve">INSERT FIGURE 6 HERE </w:t>
      </w:r>
    </w:p>
    <w:p w14:paraId="7D01EF42" w14:textId="77777777" w:rsidR="002C7DAA" w:rsidRPr="00FD0C07" w:rsidRDefault="002C7DAA" w:rsidP="002C7DAA">
      <w:pPr>
        <w:pStyle w:val="NormalWeb"/>
        <w:jc w:val="both"/>
        <w:rPr>
          <w:color w:val="000000" w:themeColor="text1"/>
        </w:rPr>
      </w:pPr>
      <w:r w:rsidRPr="00C74F86">
        <w:rPr>
          <w:rFonts w:ascii="Cambria" w:hAnsi="Cambria" w:cs="Helvetica"/>
          <w:i/>
          <w:color w:val="000000" w:themeColor="text1"/>
          <w:sz w:val="20"/>
          <w:szCs w:val="20"/>
          <w:highlight w:val="yellow"/>
        </w:rPr>
        <w:t>Notes:</w:t>
      </w:r>
      <w:r w:rsidRPr="00C74F86">
        <w:rPr>
          <w:rFonts w:ascii="Cambria" w:hAnsi="Cambria" w:cs="Helvetica"/>
          <w:color w:val="000000" w:themeColor="text1"/>
          <w:sz w:val="20"/>
          <w:szCs w:val="20"/>
          <w:highlight w:val="yellow"/>
        </w:rPr>
        <w:t xml:space="preserve"> </w:t>
      </w:r>
      <w:r w:rsidRPr="00C74F86">
        <w:rPr>
          <w:rFonts w:ascii="NimbusRomNo9L" w:hAnsi="NimbusRomNo9L"/>
          <w:color w:val="000000" w:themeColor="text1"/>
          <w:sz w:val="20"/>
          <w:szCs w:val="20"/>
          <w:highlight w:val="yellow"/>
        </w:rPr>
        <w:t xml:space="preserve">SVAR estimated response of monthly industrial production, consumer price index, USD/INR nominal exchange rate, ten-year government bond rate, stock market index, and total reserves (excluding gold) outstanding to a one standard deviation identified shock to global economic policy uncertainty. Shaded areas represent one standard deviation confidence intervals. Standard errors are bootstrapped as in Gertler &amp; Karadi (2015). The sources for data series are described in the text. Sample: February 1997 - December 2017. See text for details. </w:t>
      </w:r>
      <w:r w:rsidRPr="00C74F86">
        <w:rPr>
          <w:rFonts w:ascii="NimbusRomNo9L" w:hAnsi="NimbusRomNo9L"/>
          <w:i/>
          <w:iCs/>
          <w:color w:val="000000" w:themeColor="text1"/>
          <w:sz w:val="20"/>
          <w:szCs w:val="20"/>
          <w:highlight w:val="yellow"/>
        </w:rPr>
        <w:t>Authors’ own calculations</w:t>
      </w:r>
      <w:r w:rsidRPr="00C74F86">
        <w:rPr>
          <w:rFonts w:ascii="NimbusRomNo9L" w:hAnsi="NimbusRomNo9L"/>
          <w:color w:val="000000" w:themeColor="text1"/>
          <w:sz w:val="20"/>
          <w:szCs w:val="20"/>
          <w:highlight w:val="yellow"/>
        </w:rPr>
        <w:t>.</w:t>
      </w:r>
      <w:r w:rsidRPr="00A0519F">
        <w:rPr>
          <w:rFonts w:ascii="NimbusRomNo9L" w:hAnsi="NimbusRomNo9L"/>
          <w:color w:val="000000" w:themeColor="text1"/>
          <w:sz w:val="20"/>
          <w:szCs w:val="20"/>
        </w:rPr>
        <w:t xml:space="preserve"> </w:t>
      </w:r>
    </w:p>
    <w:p w14:paraId="288425B6" w14:textId="77777777" w:rsidR="002C7DAA" w:rsidRPr="009C6CD0" w:rsidRDefault="002C7DAA" w:rsidP="009C6CD0">
      <w:pPr>
        <w:jc w:val="both"/>
        <w:rPr>
          <w:rFonts w:ascii="Cambria" w:hAnsi="Cambria"/>
          <w:color w:val="000000" w:themeColor="text1"/>
          <w:sz w:val="24"/>
          <w:szCs w:val="24"/>
        </w:rPr>
      </w:pPr>
    </w:p>
    <w:p w14:paraId="076981F0" w14:textId="3CB4C0D6" w:rsidR="00F92C83" w:rsidRPr="006E395C" w:rsidRDefault="00850BF5" w:rsidP="009C6CD0">
      <w:pPr>
        <w:jc w:val="both"/>
        <w:rPr>
          <w:rFonts w:ascii="Cambria" w:hAnsi="Cambria"/>
          <w:b/>
          <w:i/>
          <w:color w:val="000000" w:themeColor="text1"/>
          <w:sz w:val="24"/>
          <w:szCs w:val="24"/>
          <w:u w:val="single"/>
        </w:rPr>
      </w:pPr>
      <w:r w:rsidRPr="006E395C">
        <w:rPr>
          <w:rFonts w:ascii="Cambria" w:hAnsi="Cambria"/>
          <w:b/>
          <w:i/>
          <w:color w:val="000000" w:themeColor="text1"/>
          <w:sz w:val="24"/>
          <w:szCs w:val="24"/>
          <w:u w:val="single"/>
        </w:rPr>
        <w:t xml:space="preserve">4.2.3 </w:t>
      </w:r>
      <w:r w:rsidR="00F92C83" w:rsidRPr="006E395C">
        <w:rPr>
          <w:rFonts w:ascii="Cambria" w:hAnsi="Cambria"/>
          <w:b/>
          <w:i/>
          <w:color w:val="000000" w:themeColor="text1"/>
          <w:sz w:val="24"/>
          <w:szCs w:val="24"/>
          <w:u w:val="single"/>
        </w:rPr>
        <w:t>Geopolitical Risk Shocks</w:t>
      </w:r>
    </w:p>
    <w:p w14:paraId="75AA8D0E" w14:textId="7657FC06" w:rsidR="00F92C83" w:rsidRPr="009C6CD0" w:rsidRDefault="00847DF6" w:rsidP="009C6CD0">
      <w:pPr>
        <w:jc w:val="both"/>
        <w:rPr>
          <w:rFonts w:ascii="Cambria" w:hAnsi="Cambria"/>
          <w:color w:val="000000" w:themeColor="text1"/>
          <w:sz w:val="24"/>
          <w:szCs w:val="24"/>
        </w:rPr>
      </w:pPr>
      <w:r w:rsidRPr="009C6CD0">
        <w:rPr>
          <w:rFonts w:ascii="Cambria" w:hAnsi="Cambria"/>
          <w:color w:val="000000" w:themeColor="text1"/>
          <w:sz w:val="24"/>
          <w:szCs w:val="24"/>
        </w:rPr>
        <w:t>FIGURE 7</w:t>
      </w:r>
      <w:r w:rsidR="00F92C83" w:rsidRPr="009C6CD0">
        <w:rPr>
          <w:rFonts w:ascii="Cambria" w:hAnsi="Cambria"/>
          <w:color w:val="000000" w:themeColor="text1"/>
          <w:sz w:val="24"/>
          <w:szCs w:val="24"/>
        </w:rPr>
        <w:t xml:space="preserve"> presents the impulse responses to a one standard deviation increase in the geopolitical risk shock.  With this shock the SVAR results do not show a clear discernible pattern. The responses of both industrial production and consumer price index is quantitatively small and statistically insignificant.  </w:t>
      </w:r>
      <w:r w:rsidR="00921F55" w:rsidRPr="009C6CD0">
        <w:rPr>
          <w:rFonts w:ascii="Cambria" w:hAnsi="Cambria"/>
          <w:color w:val="000000" w:themeColor="text1"/>
          <w:sz w:val="24"/>
          <w:szCs w:val="24"/>
        </w:rPr>
        <w:t>Thus,</w:t>
      </w:r>
      <w:r w:rsidR="00F92C83" w:rsidRPr="009C6CD0">
        <w:rPr>
          <w:rFonts w:ascii="Cambria" w:hAnsi="Cambria"/>
          <w:color w:val="000000" w:themeColor="text1"/>
          <w:sz w:val="24"/>
          <w:szCs w:val="24"/>
        </w:rPr>
        <w:t xml:space="preserve"> the response of Indian industrial production is consistent with the response of BRICS industrial production seen above: neither appear to be substantially affected by the geopolitical risk shock.  Even for the financial market variables, we notice that the responses are mostly near zero and insignificant. The one exception is the stock market which falls on impact. Overall for the financial variables, if anything, this adverse shock represents some beneficial effects with an increase in the dollar reserves and a delayed rise in the stock market. </w:t>
      </w:r>
      <w:r w:rsidR="006A6B69" w:rsidRPr="009C6CD0">
        <w:rPr>
          <w:rFonts w:ascii="Cambria" w:hAnsi="Cambria"/>
          <w:color w:val="000000" w:themeColor="text1"/>
          <w:sz w:val="24"/>
          <w:szCs w:val="24"/>
        </w:rPr>
        <w:t>Thus,</w:t>
      </w:r>
      <w:r w:rsidR="00F92C83" w:rsidRPr="009C6CD0">
        <w:rPr>
          <w:rFonts w:ascii="Cambria" w:hAnsi="Cambria"/>
          <w:color w:val="000000" w:themeColor="text1"/>
          <w:sz w:val="24"/>
          <w:szCs w:val="24"/>
        </w:rPr>
        <w:t xml:space="preserve"> in contrast to the other shocks, while the geopolitical risk shock does have a significant effect on OECD countries, for India as with the BRICS countries in general</w:t>
      </w:r>
    </w:p>
    <w:p w14:paraId="5EB38EB3" w14:textId="763BCFB7" w:rsidR="008E3BF1" w:rsidRPr="00C74F86" w:rsidRDefault="008E3BF1" w:rsidP="008E3BF1">
      <w:pPr>
        <w:pStyle w:val="NormalWeb"/>
        <w:rPr>
          <w:highlight w:val="yellow"/>
        </w:rPr>
      </w:pPr>
      <w:r w:rsidRPr="00C74F86">
        <w:rPr>
          <w:rFonts w:ascii="Cambria" w:hAnsi="Cambria" w:cs="Helvetica"/>
          <w:color w:val="000000" w:themeColor="text1"/>
          <w:sz w:val="22"/>
          <w:szCs w:val="22"/>
          <w:highlight w:val="yellow"/>
        </w:rPr>
        <w:lastRenderedPageBreak/>
        <w:t xml:space="preserve">FIGURE </w:t>
      </w:r>
      <w:r>
        <w:rPr>
          <w:rFonts w:ascii="Cambria" w:hAnsi="Cambria"/>
          <w:sz w:val="22"/>
          <w:szCs w:val="22"/>
          <w:highlight w:val="yellow"/>
        </w:rPr>
        <w:t>7</w:t>
      </w:r>
      <w:r w:rsidRPr="00C74F86">
        <w:rPr>
          <w:rFonts w:ascii="Cambria" w:hAnsi="Cambria"/>
          <w:sz w:val="22"/>
          <w:szCs w:val="22"/>
          <w:highlight w:val="yellow"/>
        </w:rPr>
        <w:t xml:space="preserve">: </w:t>
      </w:r>
      <w:r w:rsidRPr="00C74F86">
        <w:rPr>
          <w:rFonts w:ascii="NimbusRomNo9L" w:hAnsi="NimbusRomNo9L"/>
          <w:highlight w:val="yellow"/>
        </w:rPr>
        <w:t xml:space="preserve">SVAR response to </w:t>
      </w:r>
      <w:r>
        <w:rPr>
          <w:rFonts w:ascii="NimbusRomNo9L" w:hAnsi="NimbusRomNo9L"/>
          <w:highlight w:val="yellow"/>
        </w:rPr>
        <w:t>geopolitical risk</w:t>
      </w:r>
      <w:r w:rsidRPr="00C74F86">
        <w:rPr>
          <w:rFonts w:ascii="NimbusRomNo9L" w:hAnsi="NimbusRomNo9L"/>
          <w:highlight w:val="yellow"/>
        </w:rPr>
        <w:t xml:space="preserve"> shock </w:t>
      </w:r>
    </w:p>
    <w:p w14:paraId="2976597F" w14:textId="5279D259" w:rsidR="008E3BF1" w:rsidRPr="00C74F86" w:rsidRDefault="008E3BF1" w:rsidP="008E3BF1">
      <w:pPr>
        <w:pStyle w:val="NormalWeb"/>
        <w:jc w:val="both"/>
        <w:rPr>
          <w:rFonts w:ascii="Cambria" w:hAnsi="Cambria"/>
          <w:color w:val="000000" w:themeColor="text1"/>
          <w:sz w:val="22"/>
          <w:szCs w:val="22"/>
          <w:highlight w:val="yellow"/>
        </w:rPr>
      </w:pPr>
      <w:r w:rsidRPr="00C74F86">
        <w:rPr>
          <w:rFonts w:ascii="Cambria" w:hAnsi="Cambria" w:cs="Helvetica"/>
          <w:color w:val="000000" w:themeColor="text1"/>
          <w:sz w:val="22"/>
          <w:szCs w:val="22"/>
          <w:highlight w:val="yellow"/>
        </w:rPr>
        <w:t xml:space="preserve">INSERT FIGURE </w:t>
      </w:r>
      <w:r>
        <w:rPr>
          <w:rFonts w:ascii="Cambria" w:hAnsi="Cambria" w:cs="Helvetica"/>
          <w:color w:val="000000" w:themeColor="text1"/>
          <w:sz w:val="22"/>
          <w:szCs w:val="22"/>
          <w:highlight w:val="yellow"/>
        </w:rPr>
        <w:t>7</w:t>
      </w:r>
      <w:r w:rsidRPr="00C74F86">
        <w:rPr>
          <w:rFonts w:ascii="Cambria" w:hAnsi="Cambria" w:cs="Helvetica"/>
          <w:color w:val="000000" w:themeColor="text1"/>
          <w:sz w:val="22"/>
          <w:szCs w:val="22"/>
          <w:highlight w:val="yellow"/>
        </w:rPr>
        <w:t xml:space="preserve"> HERE </w:t>
      </w:r>
    </w:p>
    <w:p w14:paraId="3C542944" w14:textId="28B7054A" w:rsidR="008E3BF1" w:rsidRPr="00FD0C07" w:rsidRDefault="008E3BF1" w:rsidP="008E3BF1">
      <w:pPr>
        <w:pStyle w:val="NormalWeb"/>
        <w:jc w:val="both"/>
        <w:rPr>
          <w:color w:val="000000" w:themeColor="text1"/>
        </w:rPr>
      </w:pPr>
      <w:r w:rsidRPr="00C74F86">
        <w:rPr>
          <w:rFonts w:ascii="Cambria" w:hAnsi="Cambria" w:cs="Helvetica"/>
          <w:i/>
          <w:color w:val="000000" w:themeColor="text1"/>
          <w:sz w:val="20"/>
          <w:szCs w:val="20"/>
          <w:highlight w:val="yellow"/>
        </w:rPr>
        <w:t>Notes:</w:t>
      </w:r>
      <w:r w:rsidRPr="00C74F86">
        <w:rPr>
          <w:rFonts w:ascii="Cambria" w:hAnsi="Cambria" w:cs="Helvetica"/>
          <w:color w:val="000000" w:themeColor="text1"/>
          <w:sz w:val="20"/>
          <w:szCs w:val="20"/>
          <w:highlight w:val="yellow"/>
        </w:rPr>
        <w:t xml:space="preserve"> </w:t>
      </w:r>
      <w:r w:rsidRPr="00C74F86">
        <w:rPr>
          <w:rFonts w:ascii="NimbusRomNo9L" w:hAnsi="NimbusRomNo9L"/>
          <w:color w:val="000000" w:themeColor="text1"/>
          <w:sz w:val="20"/>
          <w:szCs w:val="20"/>
          <w:highlight w:val="yellow"/>
        </w:rPr>
        <w:t xml:space="preserve">SVAR estimated response of monthly industrial production, consumer price index, USD/INR nominal exchange rate, ten-year government bond rate, stock market index, and total reserves (excluding gold) outstanding to a one standard deviation identified shock to </w:t>
      </w:r>
      <w:r w:rsidR="0036680D">
        <w:rPr>
          <w:rFonts w:ascii="NimbusRomNo9L" w:hAnsi="NimbusRomNo9L"/>
          <w:color w:val="000000" w:themeColor="text1"/>
          <w:sz w:val="20"/>
          <w:szCs w:val="20"/>
          <w:highlight w:val="yellow"/>
        </w:rPr>
        <w:t>geopolitical risk measure</w:t>
      </w:r>
      <w:r w:rsidRPr="00C74F86">
        <w:rPr>
          <w:rFonts w:ascii="NimbusRomNo9L" w:hAnsi="NimbusRomNo9L"/>
          <w:color w:val="000000" w:themeColor="text1"/>
          <w:sz w:val="20"/>
          <w:szCs w:val="20"/>
          <w:highlight w:val="yellow"/>
        </w:rPr>
        <w:t xml:space="preserve">. Shaded areas represent one standard deviation confidence intervals. Standard errors are bootstrapped as in Gertler &amp; Karadi (2015). The sources for data series are described in the text. Sample: February 1997 - December 2017. See text for details. </w:t>
      </w:r>
      <w:r w:rsidRPr="00C74F86">
        <w:rPr>
          <w:rFonts w:ascii="NimbusRomNo9L" w:hAnsi="NimbusRomNo9L"/>
          <w:i/>
          <w:iCs/>
          <w:color w:val="000000" w:themeColor="text1"/>
          <w:sz w:val="20"/>
          <w:szCs w:val="20"/>
          <w:highlight w:val="yellow"/>
        </w:rPr>
        <w:t>Authors’ own calculations</w:t>
      </w:r>
      <w:r w:rsidRPr="00C74F86">
        <w:rPr>
          <w:rFonts w:ascii="NimbusRomNo9L" w:hAnsi="NimbusRomNo9L"/>
          <w:color w:val="000000" w:themeColor="text1"/>
          <w:sz w:val="20"/>
          <w:szCs w:val="20"/>
          <w:highlight w:val="yellow"/>
        </w:rPr>
        <w:t>.</w:t>
      </w:r>
      <w:r w:rsidRPr="00A0519F">
        <w:rPr>
          <w:rFonts w:ascii="NimbusRomNo9L" w:hAnsi="NimbusRomNo9L"/>
          <w:color w:val="000000" w:themeColor="text1"/>
          <w:sz w:val="20"/>
          <w:szCs w:val="20"/>
        </w:rPr>
        <w:t xml:space="preserve"> </w:t>
      </w:r>
    </w:p>
    <w:p w14:paraId="2AF24D1F" w14:textId="77777777" w:rsidR="00F92C83" w:rsidRPr="009C6CD0" w:rsidRDefault="00F92C83" w:rsidP="009C6CD0">
      <w:pPr>
        <w:jc w:val="both"/>
        <w:rPr>
          <w:rFonts w:ascii="Cambria" w:hAnsi="Cambria"/>
          <w:color w:val="000000" w:themeColor="text1"/>
          <w:sz w:val="24"/>
          <w:szCs w:val="24"/>
        </w:rPr>
      </w:pPr>
    </w:p>
    <w:p w14:paraId="2C855BA1" w14:textId="0A0C876A" w:rsidR="00F92C83" w:rsidRPr="00537652" w:rsidRDefault="00EF069A" w:rsidP="009C6CD0">
      <w:pPr>
        <w:jc w:val="both"/>
        <w:rPr>
          <w:rFonts w:ascii="Cambria" w:hAnsi="Cambria"/>
          <w:b/>
          <w:i/>
          <w:color w:val="000000" w:themeColor="text1"/>
          <w:sz w:val="24"/>
          <w:szCs w:val="24"/>
          <w:u w:val="single"/>
        </w:rPr>
      </w:pPr>
      <w:r w:rsidRPr="00537652">
        <w:rPr>
          <w:rFonts w:ascii="Cambria" w:hAnsi="Cambria"/>
          <w:b/>
          <w:i/>
          <w:color w:val="000000" w:themeColor="text1"/>
          <w:sz w:val="24"/>
          <w:szCs w:val="24"/>
          <w:u w:val="single"/>
        </w:rPr>
        <w:t xml:space="preserve">4.2.4 </w:t>
      </w:r>
      <w:r w:rsidR="00F92C83" w:rsidRPr="00537652">
        <w:rPr>
          <w:rFonts w:ascii="Cambria" w:hAnsi="Cambria"/>
          <w:b/>
          <w:i/>
          <w:color w:val="000000" w:themeColor="text1"/>
          <w:sz w:val="24"/>
          <w:szCs w:val="24"/>
          <w:u w:val="single"/>
        </w:rPr>
        <w:t>Oil Supply Shocks</w:t>
      </w:r>
    </w:p>
    <w:p w14:paraId="13190044" w14:textId="03C1351B" w:rsidR="00F92C83" w:rsidRPr="009C6CD0" w:rsidRDefault="003230E0" w:rsidP="009C6CD0">
      <w:pPr>
        <w:jc w:val="both"/>
        <w:rPr>
          <w:rFonts w:ascii="Cambria" w:hAnsi="Cambria"/>
          <w:color w:val="000000" w:themeColor="text1"/>
          <w:sz w:val="24"/>
          <w:szCs w:val="24"/>
        </w:rPr>
      </w:pPr>
      <w:r w:rsidRPr="009C6CD0">
        <w:rPr>
          <w:rFonts w:ascii="Cambria" w:hAnsi="Cambria"/>
          <w:color w:val="000000" w:themeColor="text1"/>
          <w:sz w:val="24"/>
          <w:szCs w:val="24"/>
        </w:rPr>
        <w:t>FIGURE 8</w:t>
      </w:r>
      <w:r w:rsidR="00A90C02" w:rsidRPr="009C6CD0">
        <w:rPr>
          <w:rFonts w:ascii="Cambria" w:hAnsi="Cambria"/>
          <w:color w:val="000000" w:themeColor="text1"/>
          <w:sz w:val="24"/>
          <w:szCs w:val="24"/>
        </w:rPr>
        <w:t xml:space="preserve"> </w:t>
      </w:r>
      <w:r w:rsidR="00F92C83" w:rsidRPr="009C6CD0">
        <w:rPr>
          <w:rFonts w:ascii="Cambria" w:hAnsi="Cambria"/>
          <w:color w:val="000000" w:themeColor="text1"/>
          <w:sz w:val="24"/>
          <w:szCs w:val="24"/>
        </w:rPr>
        <w:t xml:space="preserve">shows the impulse response to the oil supply shock.   Industrial production falls on impact by 0.3%.  Relative to world and BRICS industrial production, this contemporaneous response of Indian industrial production is larger.  Moreover, this response stays negative and significant even at the </w:t>
      </w:r>
      <w:r w:rsidR="00384F7C" w:rsidRPr="009C6CD0">
        <w:rPr>
          <w:rFonts w:ascii="Cambria" w:hAnsi="Cambria"/>
          <w:color w:val="000000" w:themeColor="text1"/>
          <w:sz w:val="24"/>
          <w:szCs w:val="24"/>
        </w:rPr>
        <w:t>two-year</w:t>
      </w:r>
      <w:r w:rsidR="00F92C83" w:rsidRPr="009C6CD0">
        <w:rPr>
          <w:rFonts w:ascii="Cambria" w:hAnsi="Cambria"/>
          <w:color w:val="000000" w:themeColor="text1"/>
          <w:sz w:val="24"/>
          <w:szCs w:val="24"/>
        </w:rPr>
        <w:t xml:space="preserve"> mark.  </w:t>
      </w:r>
      <w:r w:rsidR="00384F7C" w:rsidRPr="009C6CD0">
        <w:rPr>
          <w:rFonts w:ascii="Cambria" w:hAnsi="Cambria"/>
          <w:color w:val="000000" w:themeColor="text1"/>
          <w:sz w:val="24"/>
          <w:szCs w:val="24"/>
        </w:rPr>
        <w:t>Thus,</w:t>
      </w:r>
      <w:r w:rsidR="00F92C83" w:rsidRPr="009C6CD0">
        <w:rPr>
          <w:rFonts w:ascii="Cambria" w:hAnsi="Cambria"/>
          <w:color w:val="000000" w:themeColor="text1"/>
          <w:sz w:val="24"/>
          <w:szCs w:val="24"/>
        </w:rPr>
        <w:t xml:space="preserve"> from the four shocks we have considered the oil shock has the largest and persistent effects on Indian economic activity.  Consistent with expectations, the oil supply shock responses look like a textbook </w:t>
      </w:r>
      <w:r w:rsidR="00384F7C" w:rsidRPr="009C6CD0">
        <w:rPr>
          <w:rFonts w:ascii="Cambria" w:hAnsi="Cambria"/>
          <w:color w:val="000000" w:themeColor="text1"/>
          <w:sz w:val="24"/>
          <w:szCs w:val="24"/>
        </w:rPr>
        <w:t>“</w:t>
      </w:r>
      <w:r w:rsidR="00F92C83" w:rsidRPr="009C6CD0">
        <w:rPr>
          <w:rFonts w:ascii="Cambria" w:hAnsi="Cambria"/>
          <w:color w:val="000000" w:themeColor="text1"/>
          <w:sz w:val="24"/>
          <w:szCs w:val="24"/>
        </w:rPr>
        <w:t>supply-shock.</w:t>
      </w:r>
      <w:r w:rsidR="00384F7C" w:rsidRPr="009C6CD0">
        <w:rPr>
          <w:rFonts w:ascii="Cambria" w:hAnsi="Cambria"/>
          <w:color w:val="000000" w:themeColor="text1"/>
          <w:sz w:val="24"/>
          <w:szCs w:val="24"/>
        </w:rPr>
        <w:t>”</w:t>
      </w:r>
      <w:r w:rsidR="00F92C83" w:rsidRPr="009C6CD0">
        <w:rPr>
          <w:rFonts w:ascii="Cambria" w:hAnsi="Cambria"/>
          <w:color w:val="000000" w:themeColor="text1"/>
          <w:sz w:val="24"/>
          <w:szCs w:val="24"/>
        </w:rPr>
        <w:t xml:space="preserve"> Output goes down while at the same time prices go up.  The consumer price index rises on impact and is still higher at the </w:t>
      </w:r>
      <w:r w:rsidR="00E1298C" w:rsidRPr="009C6CD0">
        <w:rPr>
          <w:rFonts w:ascii="Cambria" w:hAnsi="Cambria"/>
          <w:color w:val="000000" w:themeColor="text1"/>
          <w:sz w:val="24"/>
          <w:szCs w:val="24"/>
        </w:rPr>
        <w:t>two-level</w:t>
      </w:r>
      <w:r w:rsidR="00F92C83" w:rsidRPr="009C6CD0">
        <w:rPr>
          <w:rFonts w:ascii="Cambria" w:hAnsi="Cambria"/>
          <w:color w:val="000000" w:themeColor="text1"/>
          <w:sz w:val="24"/>
          <w:szCs w:val="24"/>
        </w:rPr>
        <w:t xml:space="preserve"> horizon.  The rupee depreciates on impact and the peak effect is almost half a percent.  This is larger than in response to other three shocks. Moreover, this effect is persistent with the rupee being lower even at the </w:t>
      </w:r>
      <w:r w:rsidR="00AE0239" w:rsidRPr="009C6CD0">
        <w:rPr>
          <w:rFonts w:ascii="Cambria" w:hAnsi="Cambria"/>
          <w:color w:val="000000" w:themeColor="text1"/>
          <w:sz w:val="24"/>
          <w:szCs w:val="24"/>
        </w:rPr>
        <w:t>two-year</w:t>
      </w:r>
      <w:r w:rsidR="00F92C83" w:rsidRPr="009C6CD0">
        <w:rPr>
          <w:rFonts w:ascii="Cambria" w:hAnsi="Cambria"/>
          <w:color w:val="000000" w:themeColor="text1"/>
          <w:sz w:val="24"/>
          <w:szCs w:val="24"/>
        </w:rPr>
        <w:t xml:space="preserve"> horizon.  Dollar reserves also fall on impact and stay about 0.5% lower at the </w:t>
      </w:r>
      <w:r w:rsidR="00953F1A" w:rsidRPr="009C6CD0">
        <w:rPr>
          <w:rFonts w:ascii="Cambria" w:hAnsi="Cambria"/>
          <w:color w:val="000000" w:themeColor="text1"/>
          <w:sz w:val="24"/>
          <w:szCs w:val="24"/>
        </w:rPr>
        <w:t>two-year</w:t>
      </w:r>
      <w:r w:rsidR="00F92C83" w:rsidRPr="009C6CD0">
        <w:rPr>
          <w:rFonts w:ascii="Cambria" w:hAnsi="Cambria"/>
          <w:color w:val="000000" w:themeColor="text1"/>
          <w:sz w:val="24"/>
          <w:szCs w:val="24"/>
        </w:rPr>
        <w:t xml:space="preserve"> horizon.  The stock market and </w:t>
      </w:r>
      <w:r w:rsidR="00AE0239" w:rsidRPr="009C6CD0">
        <w:rPr>
          <w:rFonts w:ascii="Cambria" w:hAnsi="Cambria"/>
          <w:color w:val="000000" w:themeColor="text1"/>
          <w:sz w:val="24"/>
          <w:szCs w:val="24"/>
        </w:rPr>
        <w:t>10-year</w:t>
      </w:r>
      <w:r w:rsidR="00F92C83" w:rsidRPr="009C6CD0">
        <w:rPr>
          <w:rFonts w:ascii="Cambria" w:hAnsi="Cambria"/>
          <w:color w:val="000000" w:themeColor="text1"/>
          <w:sz w:val="24"/>
          <w:szCs w:val="24"/>
        </w:rPr>
        <w:t xml:space="preserve"> government bond yield fall on impact but recover somewhat faster.  </w:t>
      </w:r>
      <w:r w:rsidR="00AE0239" w:rsidRPr="009C6CD0">
        <w:rPr>
          <w:rFonts w:ascii="Cambria" w:hAnsi="Cambria"/>
          <w:color w:val="000000" w:themeColor="text1"/>
          <w:sz w:val="24"/>
          <w:szCs w:val="24"/>
        </w:rPr>
        <w:t>Thus,</w:t>
      </w:r>
      <w:r w:rsidR="00F92C83" w:rsidRPr="009C6CD0">
        <w:rPr>
          <w:rFonts w:ascii="Cambria" w:hAnsi="Cambria"/>
          <w:color w:val="000000" w:themeColor="text1"/>
          <w:sz w:val="24"/>
          <w:szCs w:val="24"/>
        </w:rPr>
        <w:t xml:space="preserve"> overall an adverse oil supply shock has large effects on both macroeconomic and financial market variables.  </w:t>
      </w:r>
      <w:r w:rsidR="00AE0239" w:rsidRPr="009C6CD0">
        <w:rPr>
          <w:rFonts w:ascii="Cambria" w:hAnsi="Cambria"/>
          <w:color w:val="000000" w:themeColor="text1"/>
          <w:sz w:val="24"/>
          <w:szCs w:val="24"/>
        </w:rPr>
        <w:t>Moreover,</w:t>
      </w:r>
      <w:r w:rsidR="00F92C83" w:rsidRPr="009C6CD0">
        <w:rPr>
          <w:rFonts w:ascii="Cambria" w:hAnsi="Cambria"/>
          <w:color w:val="000000" w:themeColor="text1"/>
          <w:sz w:val="24"/>
          <w:szCs w:val="24"/>
        </w:rPr>
        <w:t xml:space="preserve"> these effects are felt contemporaneously and they persist over the medium term.</w:t>
      </w:r>
    </w:p>
    <w:p w14:paraId="412BDCD6" w14:textId="77777777" w:rsidR="00F92C83" w:rsidRPr="009C6CD0" w:rsidRDefault="00F92C83" w:rsidP="009C6CD0">
      <w:pPr>
        <w:jc w:val="both"/>
        <w:rPr>
          <w:rFonts w:ascii="Cambria" w:hAnsi="Cambria"/>
          <w:color w:val="000000" w:themeColor="text1"/>
          <w:sz w:val="24"/>
          <w:szCs w:val="24"/>
        </w:rPr>
      </w:pPr>
    </w:p>
    <w:p w14:paraId="4AC3D70E" w14:textId="7970C86C" w:rsidR="00F92C83" w:rsidRPr="009C6CD0" w:rsidRDefault="00F92C83" w:rsidP="009C6CD0">
      <w:pPr>
        <w:pStyle w:val="NormalWeb"/>
        <w:jc w:val="both"/>
        <w:rPr>
          <w:rFonts w:ascii="Cambria" w:hAnsi="Cambria"/>
          <w:color w:val="000000" w:themeColor="text1"/>
        </w:rPr>
      </w:pPr>
      <w:r w:rsidRPr="009C6CD0">
        <w:rPr>
          <w:rFonts w:ascii="Cambria" w:hAnsi="Cambria"/>
          <w:color w:val="000000" w:themeColor="text1"/>
        </w:rPr>
        <w:t xml:space="preserve">One common theme emerges from the four shocks about the response of the </w:t>
      </w:r>
      <w:r w:rsidR="00AE0239" w:rsidRPr="009C6CD0">
        <w:rPr>
          <w:rFonts w:ascii="Cambria" w:hAnsi="Cambria"/>
          <w:color w:val="000000" w:themeColor="text1"/>
        </w:rPr>
        <w:t>10-year</w:t>
      </w:r>
      <w:r w:rsidRPr="009C6CD0">
        <w:rPr>
          <w:rFonts w:ascii="Cambria" w:hAnsi="Cambria"/>
          <w:color w:val="000000" w:themeColor="text1"/>
        </w:rPr>
        <w:t xml:space="preserve"> government bond rate.  In response to these adverse shocks, which cause disruption in the financial markets and lower economic activity, the typical response of monetary policy makers would be to ease interest rates to help the economy recover.  While we do see that typically the government bond rate tends to decline, the magnitude of the fall is quite small.  We think this is an important point that needs to </w:t>
      </w:r>
      <w:r w:rsidR="00D85D24">
        <w:rPr>
          <w:rFonts w:ascii="Cambria" w:hAnsi="Cambria"/>
          <w:color w:val="000000" w:themeColor="text1"/>
        </w:rPr>
        <w:t xml:space="preserve">be </w:t>
      </w:r>
      <w:r w:rsidRPr="009C6CD0">
        <w:rPr>
          <w:rFonts w:ascii="Cambria" w:hAnsi="Cambria"/>
          <w:color w:val="000000" w:themeColor="text1"/>
        </w:rPr>
        <w:t xml:space="preserve">explored more.  There are two reasons why this could be happening. First, it could be the case that the Reserve Bank of India is not responding enough to offset these shocks.  But even if the Reserve Bank of India is recognizing these shocks and responding appropriately by changing policy rates, it could be the case that the monetary transmission mechanism is not effective.  </w:t>
      </w:r>
      <w:r w:rsidR="00212AC3" w:rsidRPr="009C6CD0">
        <w:rPr>
          <w:rFonts w:ascii="Cambria" w:hAnsi="Cambria"/>
          <w:color w:val="000000" w:themeColor="text1"/>
        </w:rPr>
        <w:t>Indeed,</w:t>
      </w:r>
      <w:r w:rsidRPr="009C6CD0">
        <w:rPr>
          <w:rFonts w:ascii="Cambria" w:hAnsi="Cambria"/>
          <w:color w:val="000000" w:themeColor="text1"/>
        </w:rPr>
        <w:t xml:space="preserve"> there is corroborating evidence for this latter explanation.  For a prominent paper, see the recent work of </w:t>
      </w:r>
      <w:r w:rsidR="00AE0239" w:rsidRPr="009C6CD0">
        <w:rPr>
          <w:rFonts w:ascii="Cambria" w:hAnsi="Cambria"/>
          <w:color w:val="000000" w:themeColor="text1"/>
        </w:rPr>
        <w:t xml:space="preserve">Mishra et al. (2016). </w:t>
      </w:r>
    </w:p>
    <w:p w14:paraId="5D68B657" w14:textId="6D52C78D" w:rsidR="00D010C9" w:rsidRPr="00C74F86" w:rsidRDefault="00D010C9" w:rsidP="00D010C9">
      <w:pPr>
        <w:pStyle w:val="NormalWeb"/>
        <w:rPr>
          <w:highlight w:val="yellow"/>
        </w:rPr>
      </w:pPr>
      <w:r w:rsidRPr="00C74F86">
        <w:rPr>
          <w:rFonts w:ascii="Cambria" w:hAnsi="Cambria" w:cs="Helvetica"/>
          <w:color w:val="000000" w:themeColor="text1"/>
          <w:sz w:val="22"/>
          <w:szCs w:val="22"/>
          <w:highlight w:val="yellow"/>
        </w:rPr>
        <w:t xml:space="preserve">FIGURE </w:t>
      </w:r>
      <w:r>
        <w:rPr>
          <w:rFonts w:ascii="Cambria" w:hAnsi="Cambria"/>
          <w:sz w:val="22"/>
          <w:szCs w:val="22"/>
          <w:highlight w:val="yellow"/>
        </w:rPr>
        <w:t>8</w:t>
      </w:r>
      <w:r w:rsidRPr="00C74F86">
        <w:rPr>
          <w:rFonts w:ascii="Cambria" w:hAnsi="Cambria"/>
          <w:sz w:val="22"/>
          <w:szCs w:val="22"/>
          <w:highlight w:val="yellow"/>
        </w:rPr>
        <w:t xml:space="preserve">: </w:t>
      </w:r>
      <w:r w:rsidRPr="00C74F86">
        <w:rPr>
          <w:rFonts w:ascii="NimbusRomNo9L" w:hAnsi="NimbusRomNo9L"/>
          <w:highlight w:val="yellow"/>
        </w:rPr>
        <w:t xml:space="preserve">SVAR response to </w:t>
      </w:r>
      <w:r w:rsidR="00183455">
        <w:rPr>
          <w:rFonts w:ascii="NimbusRomNo9L" w:hAnsi="NimbusRomNo9L"/>
          <w:highlight w:val="yellow"/>
        </w:rPr>
        <w:t>oil supply</w:t>
      </w:r>
      <w:r w:rsidRPr="00C74F86">
        <w:rPr>
          <w:rFonts w:ascii="NimbusRomNo9L" w:hAnsi="NimbusRomNo9L"/>
          <w:highlight w:val="yellow"/>
        </w:rPr>
        <w:t xml:space="preserve"> shock </w:t>
      </w:r>
    </w:p>
    <w:p w14:paraId="15281FCB" w14:textId="6B12F6A8" w:rsidR="00D010C9" w:rsidRPr="00C74F86" w:rsidRDefault="00D010C9" w:rsidP="00D010C9">
      <w:pPr>
        <w:pStyle w:val="NormalWeb"/>
        <w:jc w:val="both"/>
        <w:rPr>
          <w:rFonts w:ascii="Cambria" w:hAnsi="Cambria"/>
          <w:color w:val="000000" w:themeColor="text1"/>
          <w:sz w:val="22"/>
          <w:szCs w:val="22"/>
          <w:highlight w:val="yellow"/>
        </w:rPr>
      </w:pPr>
      <w:r w:rsidRPr="00C74F86">
        <w:rPr>
          <w:rFonts w:ascii="Cambria" w:hAnsi="Cambria" w:cs="Helvetica"/>
          <w:color w:val="000000" w:themeColor="text1"/>
          <w:sz w:val="22"/>
          <w:szCs w:val="22"/>
          <w:highlight w:val="yellow"/>
        </w:rPr>
        <w:lastRenderedPageBreak/>
        <w:t xml:space="preserve">INSERT FIGURE </w:t>
      </w:r>
      <w:r w:rsidR="0032236F">
        <w:rPr>
          <w:rFonts w:ascii="Cambria" w:hAnsi="Cambria" w:cs="Helvetica"/>
          <w:color w:val="000000" w:themeColor="text1"/>
          <w:sz w:val="22"/>
          <w:szCs w:val="22"/>
          <w:highlight w:val="yellow"/>
        </w:rPr>
        <w:t>8</w:t>
      </w:r>
      <w:r w:rsidRPr="00C74F86">
        <w:rPr>
          <w:rFonts w:ascii="Cambria" w:hAnsi="Cambria" w:cs="Helvetica"/>
          <w:color w:val="000000" w:themeColor="text1"/>
          <w:sz w:val="22"/>
          <w:szCs w:val="22"/>
          <w:highlight w:val="yellow"/>
        </w:rPr>
        <w:t xml:space="preserve"> HERE </w:t>
      </w:r>
    </w:p>
    <w:p w14:paraId="3F586FB6" w14:textId="048C039B" w:rsidR="00D010C9" w:rsidRPr="00FD0C07" w:rsidRDefault="00D010C9" w:rsidP="00D010C9">
      <w:pPr>
        <w:pStyle w:val="NormalWeb"/>
        <w:jc w:val="both"/>
        <w:rPr>
          <w:color w:val="000000" w:themeColor="text1"/>
        </w:rPr>
      </w:pPr>
      <w:r w:rsidRPr="00C74F86">
        <w:rPr>
          <w:rFonts w:ascii="Cambria" w:hAnsi="Cambria" w:cs="Helvetica"/>
          <w:i/>
          <w:color w:val="000000" w:themeColor="text1"/>
          <w:sz w:val="20"/>
          <w:szCs w:val="20"/>
          <w:highlight w:val="yellow"/>
        </w:rPr>
        <w:t>Notes:</w:t>
      </w:r>
      <w:r w:rsidRPr="00C74F86">
        <w:rPr>
          <w:rFonts w:ascii="Cambria" w:hAnsi="Cambria" w:cs="Helvetica"/>
          <w:color w:val="000000" w:themeColor="text1"/>
          <w:sz w:val="20"/>
          <w:szCs w:val="20"/>
          <w:highlight w:val="yellow"/>
        </w:rPr>
        <w:t xml:space="preserve"> </w:t>
      </w:r>
      <w:r w:rsidRPr="00C74F86">
        <w:rPr>
          <w:rFonts w:ascii="NimbusRomNo9L" w:hAnsi="NimbusRomNo9L"/>
          <w:color w:val="000000" w:themeColor="text1"/>
          <w:sz w:val="20"/>
          <w:szCs w:val="20"/>
          <w:highlight w:val="yellow"/>
        </w:rPr>
        <w:t xml:space="preserve">SVAR estimated response of monthly industrial production, consumer price index, USD/INR nominal exchange rate, ten-year government bond rate, stock market index, and total reserves (excluding gold) outstanding to a one standard deviation identified shock to </w:t>
      </w:r>
      <w:r w:rsidR="006C7D83">
        <w:rPr>
          <w:rFonts w:ascii="NimbusRomNo9L" w:hAnsi="NimbusRomNo9L"/>
          <w:color w:val="000000" w:themeColor="text1"/>
          <w:sz w:val="20"/>
          <w:szCs w:val="20"/>
          <w:highlight w:val="yellow"/>
        </w:rPr>
        <w:t>oil supply</w:t>
      </w:r>
      <w:r w:rsidRPr="00C74F86">
        <w:rPr>
          <w:rFonts w:ascii="NimbusRomNo9L" w:hAnsi="NimbusRomNo9L"/>
          <w:color w:val="000000" w:themeColor="text1"/>
          <w:sz w:val="20"/>
          <w:szCs w:val="20"/>
          <w:highlight w:val="yellow"/>
        </w:rPr>
        <w:t>. Shaded areas represent one standard deviation confidence intervals. Standard errors are bootstrapped as in Gertler &amp; Karadi (2015). The sources for data series are described in the text. Sample: February 199</w:t>
      </w:r>
      <w:r w:rsidR="007831DF">
        <w:rPr>
          <w:rFonts w:ascii="NimbusRomNo9L" w:hAnsi="NimbusRomNo9L"/>
          <w:color w:val="000000" w:themeColor="text1"/>
          <w:sz w:val="20"/>
          <w:szCs w:val="20"/>
          <w:highlight w:val="yellow"/>
        </w:rPr>
        <w:t>4</w:t>
      </w:r>
      <w:r w:rsidRPr="00C74F86">
        <w:rPr>
          <w:rFonts w:ascii="NimbusRomNo9L" w:hAnsi="NimbusRomNo9L"/>
          <w:color w:val="000000" w:themeColor="text1"/>
          <w:sz w:val="20"/>
          <w:szCs w:val="20"/>
          <w:highlight w:val="yellow"/>
        </w:rPr>
        <w:t xml:space="preserve"> - December 2017. See text for details. </w:t>
      </w:r>
      <w:r w:rsidRPr="00C74F86">
        <w:rPr>
          <w:rFonts w:ascii="NimbusRomNo9L" w:hAnsi="NimbusRomNo9L"/>
          <w:i/>
          <w:iCs/>
          <w:color w:val="000000" w:themeColor="text1"/>
          <w:sz w:val="20"/>
          <w:szCs w:val="20"/>
          <w:highlight w:val="yellow"/>
        </w:rPr>
        <w:t>Authors’ own calculations</w:t>
      </w:r>
      <w:r w:rsidRPr="00C74F86">
        <w:rPr>
          <w:rFonts w:ascii="NimbusRomNo9L" w:hAnsi="NimbusRomNo9L"/>
          <w:color w:val="000000" w:themeColor="text1"/>
          <w:sz w:val="20"/>
          <w:szCs w:val="20"/>
          <w:highlight w:val="yellow"/>
        </w:rPr>
        <w:t>.</w:t>
      </w:r>
      <w:r w:rsidRPr="00A0519F">
        <w:rPr>
          <w:rFonts w:ascii="NimbusRomNo9L" w:hAnsi="NimbusRomNo9L"/>
          <w:color w:val="000000" w:themeColor="text1"/>
          <w:sz w:val="20"/>
          <w:szCs w:val="20"/>
        </w:rPr>
        <w:t xml:space="preserve"> </w:t>
      </w:r>
    </w:p>
    <w:p w14:paraId="2BBADDB1" w14:textId="3AD7A6E5" w:rsidR="00F92C83" w:rsidRPr="009C6CD0" w:rsidRDefault="00F92C83" w:rsidP="009C6CD0">
      <w:pPr>
        <w:jc w:val="both"/>
        <w:rPr>
          <w:rFonts w:ascii="Cambria" w:hAnsi="Cambria"/>
          <w:color w:val="000000" w:themeColor="text1"/>
          <w:sz w:val="24"/>
          <w:szCs w:val="24"/>
        </w:rPr>
      </w:pPr>
    </w:p>
    <w:p w14:paraId="6C43952D" w14:textId="6AFD4589" w:rsidR="00AC2894" w:rsidRDefault="00AC2894" w:rsidP="009C6CD0">
      <w:pPr>
        <w:jc w:val="both"/>
        <w:rPr>
          <w:rFonts w:ascii="Cambria" w:hAnsi="Cambria"/>
          <w:b/>
          <w:i/>
          <w:color w:val="000000" w:themeColor="text1"/>
          <w:sz w:val="24"/>
          <w:szCs w:val="24"/>
        </w:rPr>
      </w:pPr>
      <w:r>
        <w:rPr>
          <w:rFonts w:ascii="Cambria" w:hAnsi="Cambria"/>
          <w:b/>
          <w:i/>
          <w:color w:val="000000" w:themeColor="text1"/>
          <w:sz w:val="24"/>
          <w:szCs w:val="24"/>
        </w:rPr>
        <w:t>4.3 Discussion: Resilience</w:t>
      </w:r>
      <w:r w:rsidR="00EF6095">
        <w:rPr>
          <w:rFonts w:ascii="Cambria" w:hAnsi="Cambria"/>
          <w:b/>
          <w:i/>
          <w:color w:val="000000" w:themeColor="text1"/>
          <w:sz w:val="24"/>
          <w:szCs w:val="24"/>
        </w:rPr>
        <w:t xml:space="preserve"> versus Integration</w:t>
      </w:r>
    </w:p>
    <w:p w14:paraId="7B254EDC" w14:textId="56FD364E" w:rsidR="000B0278" w:rsidRDefault="00AC2894" w:rsidP="000B0278">
      <w:pPr>
        <w:jc w:val="both"/>
        <w:rPr>
          <w:rFonts w:ascii="Cambria" w:hAnsi="Cambria"/>
          <w:color w:val="000000" w:themeColor="text1"/>
          <w:sz w:val="24"/>
          <w:szCs w:val="24"/>
        </w:rPr>
      </w:pPr>
      <w:r>
        <w:rPr>
          <w:rFonts w:ascii="Cambria" w:hAnsi="Cambria"/>
          <w:color w:val="000000" w:themeColor="text1"/>
          <w:sz w:val="24"/>
          <w:szCs w:val="24"/>
        </w:rPr>
        <w:t>Our results suggest that</w:t>
      </w:r>
      <w:r w:rsidRPr="004130BD">
        <w:rPr>
          <w:rFonts w:ascii="Cambria" w:hAnsi="Cambria"/>
          <w:color w:val="000000" w:themeColor="text1"/>
          <w:sz w:val="24"/>
          <w:szCs w:val="24"/>
        </w:rPr>
        <w:t xml:space="preserve"> the exposure of Indian output to th</w:t>
      </w:r>
      <w:r>
        <w:rPr>
          <w:rFonts w:ascii="Cambria" w:hAnsi="Cambria"/>
          <w:color w:val="000000" w:themeColor="text1"/>
          <w:sz w:val="24"/>
          <w:szCs w:val="24"/>
        </w:rPr>
        <w:t>e foreign</w:t>
      </w:r>
      <w:r w:rsidRPr="004130BD">
        <w:rPr>
          <w:rFonts w:ascii="Cambria" w:hAnsi="Cambria"/>
          <w:color w:val="000000" w:themeColor="text1"/>
          <w:sz w:val="24"/>
          <w:szCs w:val="24"/>
        </w:rPr>
        <w:t xml:space="preserve"> shocks is lower relative to an index of advanced economies but comparable to an index of BRICS economies.  </w:t>
      </w:r>
      <w:r>
        <w:rPr>
          <w:rFonts w:ascii="Cambria" w:hAnsi="Cambria"/>
          <w:color w:val="000000" w:themeColor="text1"/>
          <w:sz w:val="24"/>
          <w:szCs w:val="24"/>
        </w:rPr>
        <w:t>In the appendix, we make direct comparisons of the responsiveness of Indian economy to</w:t>
      </w:r>
      <w:r w:rsidRPr="004130BD">
        <w:rPr>
          <w:rFonts w:ascii="Cambria" w:hAnsi="Cambria"/>
          <w:color w:val="000000" w:themeColor="text1"/>
          <w:sz w:val="24"/>
          <w:szCs w:val="24"/>
        </w:rPr>
        <w:t xml:space="preserve"> that of China, Russia, Brazil and South Africa.  </w:t>
      </w:r>
      <w:r w:rsidR="00CE6327">
        <w:rPr>
          <w:rFonts w:ascii="Cambria" w:hAnsi="Cambria"/>
          <w:color w:val="000000" w:themeColor="text1"/>
          <w:sz w:val="24"/>
          <w:szCs w:val="24"/>
        </w:rPr>
        <w:t xml:space="preserve">We also evaluate how the responsiveness of Indian economy may have changed over time.  </w:t>
      </w:r>
      <w:r w:rsidR="00C35098">
        <w:rPr>
          <w:rFonts w:ascii="Cambria" w:hAnsi="Cambria"/>
          <w:color w:val="000000" w:themeColor="text1"/>
          <w:sz w:val="24"/>
          <w:szCs w:val="24"/>
        </w:rPr>
        <w:t xml:space="preserve">Given increased financial integration in the later sample, this sub-sample analysis </w:t>
      </w:r>
      <w:r w:rsidR="00990B40">
        <w:rPr>
          <w:rFonts w:ascii="Cambria" w:hAnsi="Cambria"/>
          <w:color w:val="000000" w:themeColor="text1"/>
          <w:sz w:val="24"/>
          <w:szCs w:val="24"/>
        </w:rPr>
        <w:t>is a suggestive evidence in assessing the role of resilience and the lack of integration in the estimated responsiveness of Indian economy.</w:t>
      </w:r>
      <w:r w:rsidR="00C35098">
        <w:rPr>
          <w:rFonts w:ascii="Cambria" w:hAnsi="Cambria"/>
          <w:color w:val="000000" w:themeColor="text1"/>
          <w:sz w:val="24"/>
          <w:szCs w:val="24"/>
        </w:rPr>
        <w:t xml:space="preserve"> </w:t>
      </w:r>
      <w:r w:rsidR="00CE6327">
        <w:rPr>
          <w:rFonts w:ascii="Cambria" w:hAnsi="Cambria"/>
          <w:color w:val="000000" w:themeColor="text1"/>
          <w:sz w:val="24"/>
          <w:szCs w:val="24"/>
        </w:rPr>
        <w:t xml:space="preserve">In order to keep the discussion focused here, the graphs are presented in the appendix. We only summarize the results with goal of drawing broad policy lessons.  </w:t>
      </w:r>
    </w:p>
    <w:p w14:paraId="205D8A0E" w14:textId="1A0E9553" w:rsidR="001E5482" w:rsidRDefault="00AC2894" w:rsidP="00AC2894">
      <w:pPr>
        <w:jc w:val="both"/>
        <w:rPr>
          <w:rFonts w:ascii="Cambria" w:hAnsi="Cambria"/>
          <w:color w:val="000000" w:themeColor="text1"/>
          <w:sz w:val="24"/>
          <w:szCs w:val="24"/>
        </w:rPr>
      </w:pPr>
      <w:r w:rsidRPr="004130BD">
        <w:rPr>
          <w:rFonts w:ascii="Cambria" w:hAnsi="Cambria"/>
          <w:color w:val="000000" w:themeColor="text1"/>
          <w:sz w:val="24"/>
          <w:szCs w:val="24"/>
        </w:rPr>
        <w:t xml:space="preserve">We find that, with the exception of China, Indian economy reacts less to these foreign shocks relative to these counterpart countries. This suggests that in facing an adverse international shock, the Indian economy is more resilient than other developing countries.  But on the flip side, since the estimated model’s effects are symmetric, it implies that the Indian economy may also miss out from the positive effects of beneficial international shocks.  </w:t>
      </w:r>
    </w:p>
    <w:p w14:paraId="12570262" w14:textId="3FB5266B" w:rsidR="001E5482" w:rsidRPr="004130BD" w:rsidRDefault="001E5482" w:rsidP="00AC2894">
      <w:pPr>
        <w:jc w:val="both"/>
        <w:rPr>
          <w:rFonts w:ascii="Cambria" w:hAnsi="Cambria"/>
          <w:color w:val="000000" w:themeColor="text1"/>
          <w:sz w:val="24"/>
          <w:szCs w:val="24"/>
        </w:rPr>
      </w:pPr>
      <w:r>
        <w:rPr>
          <w:rFonts w:ascii="Cambria" w:hAnsi="Cambria"/>
          <w:color w:val="000000" w:themeColor="text1"/>
          <w:sz w:val="24"/>
          <w:szCs w:val="24"/>
        </w:rPr>
        <w:t xml:space="preserve">The word </w:t>
      </w:r>
      <w:r w:rsidRPr="00F73093">
        <w:rPr>
          <w:rFonts w:ascii="Cambria" w:hAnsi="Cambria"/>
          <w:i/>
          <w:color w:val="000000" w:themeColor="text1"/>
          <w:sz w:val="24"/>
          <w:szCs w:val="24"/>
        </w:rPr>
        <w:t>resilience</w:t>
      </w:r>
      <w:r>
        <w:rPr>
          <w:rFonts w:ascii="Cambria" w:hAnsi="Cambria"/>
          <w:color w:val="000000" w:themeColor="text1"/>
          <w:sz w:val="24"/>
          <w:szCs w:val="24"/>
        </w:rPr>
        <w:t xml:space="preserve"> is a broad term that may capture variety of reasons for attenuated responsiveness of Indian economy to foreign shocks. </w:t>
      </w:r>
      <w:r w:rsidR="00AE07CC">
        <w:rPr>
          <w:rFonts w:ascii="Cambria" w:hAnsi="Cambria"/>
          <w:color w:val="000000" w:themeColor="text1"/>
          <w:sz w:val="24"/>
          <w:szCs w:val="24"/>
        </w:rPr>
        <w:t>For example, l</w:t>
      </w:r>
      <w:r>
        <w:rPr>
          <w:rFonts w:ascii="Cambria" w:hAnsi="Cambria"/>
          <w:color w:val="000000" w:themeColor="text1"/>
          <w:sz w:val="24"/>
          <w:szCs w:val="24"/>
        </w:rPr>
        <w:t>ack of financial or trade integration could explain subdued responsiveness.  To a first-order, we use ’resilience’ to denote forces, structural or policy-</w:t>
      </w:r>
      <w:r w:rsidR="00A25AEB">
        <w:rPr>
          <w:rFonts w:ascii="Cambria" w:hAnsi="Cambria"/>
          <w:color w:val="000000" w:themeColor="text1"/>
          <w:sz w:val="24"/>
          <w:szCs w:val="24"/>
        </w:rPr>
        <w:t>initiated, that</w:t>
      </w:r>
      <w:r>
        <w:rPr>
          <w:rFonts w:ascii="Cambria" w:hAnsi="Cambria"/>
          <w:color w:val="000000" w:themeColor="text1"/>
          <w:sz w:val="24"/>
          <w:szCs w:val="24"/>
        </w:rPr>
        <w:t xml:space="preserve"> are distinct from </w:t>
      </w:r>
      <w:r w:rsidR="00A25AEB">
        <w:rPr>
          <w:rFonts w:ascii="Cambria" w:hAnsi="Cambria"/>
          <w:color w:val="000000" w:themeColor="text1"/>
          <w:sz w:val="24"/>
          <w:szCs w:val="24"/>
        </w:rPr>
        <w:t xml:space="preserve">the </w:t>
      </w:r>
      <w:r>
        <w:rPr>
          <w:rFonts w:ascii="Cambria" w:hAnsi="Cambria"/>
          <w:color w:val="000000" w:themeColor="text1"/>
          <w:sz w:val="24"/>
          <w:szCs w:val="24"/>
        </w:rPr>
        <w:t>lack of integratio</w:t>
      </w:r>
      <w:r w:rsidR="008A2184">
        <w:rPr>
          <w:rFonts w:ascii="Cambria" w:hAnsi="Cambria"/>
          <w:color w:val="000000" w:themeColor="text1"/>
          <w:sz w:val="24"/>
          <w:szCs w:val="24"/>
        </w:rPr>
        <w:t xml:space="preserve">n. </w:t>
      </w:r>
      <w:r w:rsidR="0019161C">
        <w:rPr>
          <w:rFonts w:ascii="Cambria" w:hAnsi="Cambria"/>
          <w:color w:val="000000" w:themeColor="text1"/>
          <w:sz w:val="24"/>
          <w:szCs w:val="24"/>
        </w:rPr>
        <w:t xml:space="preserve">This is done because we can conduct sub-sample analysis to provide a suggestive evidence whether increased integration has implied greater responsiveness or not. </w:t>
      </w:r>
    </w:p>
    <w:p w14:paraId="72A9A488" w14:textId="77777777" w:rsidR="00AC2894" w:rsidRPr="004130BD" w:rsidRDefault="00AC2894" w:rsidP="00AC2894">
      <w:pPr>
        <w:jc w:val="both"/>
        <w:rPr>
          <w:rFonts w:ascii="Cambria" w:hAnsi="Cambria"/>
          <w:color w:val="000000" w:themeColor="text1"/>
          <w:sz w:val="24"/>
          <w:szCs w:val="24"/>
        </w:rPr>
      </w:pPr>
      <w:r w:rsidRPr="004130BD">
        <w:rPr>
          <w:rFonts w:ascii="Cambria" w:hAnsi="Cambria"/>
          <w:color w:val="000000" w:themeColor="text1"/>
          <w:sz w:val="24"/>
          <w:szCs w:val="24"/>
        </w:rPr>
        <w:t xml:space="preserve">With the growing integration of India into the world economy, one might expect that the responsiveness of the Indian economy to international shocks has changed over time.  To test this, we estimate the impulse responses for India by splitting our sample into two halves (pre and post December 2005).  But for most of the variables (including output) we do not find statistically significant differences in the responses.  What explains this phenomenon? A comprehensive analysis of this question would investigate any structural changes in the Indian economy and the response of policymakers. While this exercise lies outside the scope of this paper, our results provide some suggestive evidence on the role that monetary policymakers might have played.    </w:t>
      </w:r>
    </w:p>
    <w:p w14:paraId="7119E50C" w14:textId="77777777" w:rsidR="00AC2894" w:rsidRPr="004130BD" w:rsidRDefault="00AC2894" w:rsidP="00AC2894">
      <w:pPr>
        <w:jc w:val="both"/>
        <w:rPr>
          <w:rFonts w:ascii="Cambria" w:hAnsi="Cambria"/>
          <w:color w:val="000000" w:themeColor="text1"/>
          <w:sz w:val="24"/>
          <w:szCs w:val="24"/>
        </w:rPr>
      </w:pPr>
      <w:r w:rsidRPr="004130BD">
        <w:rPr>
          <w:rFonts w:ascii="Cambria" w:hAnsi="Cambria"/>
          <w:color w:val="000000" w:themeColor="text1"/>
          <w:sz w:val="24"/>
          <w:szCs w:val="24"/>
        </w:rPr>
        <w:lastRenderedPageBreak/>
        <w:t xml:space="preserve">Central banks can respond to international shocks primarily by changing their policy interest rates or intervening in exchange rate markets, at least in terms of conventional policy tools.  A common pattern that also emerges in the analysis is the modest response of the 10-year government bond rate to these adverse global shocks. This has potentially important implications from a policy stabilization perspective.  For example, policymakers may consider easing of interest rates in response to adverse international shocks.  For the oil supply shock, the central bank faces a clear trade-off as output falls, but prices rise.  Thus, if the central bank is worried more about higher inflation then it may want to refrain from lowering rates and accept the downturn in economic activity.  But the US monetary policy and uncertainty shocks have effects that look like domestic demand shocks. In this case there is no longer a tradeoff and optimal monetary policy from conventional models dictates that the central bank lower rates.  </w:t>
      </w:r>
    </w:p>
    <w:p w14:paraId="0974F014" w14:textId="77777777" w:rsidR="00AC2894" w:rsidRPr="004130BD" w:rsidRDefault="00AC2894" w:rsidP="00AC2894">
      <w:pPr>
        <w:jc w:val="both"/>
        <w:rPr>
          <w:rFonts w:ascii="Cambria" w:hAnsi="Cambria"/>
          <w:color w:val="000000" w:themeColor="text1"/>
          <w:sz w:val="24"/>
          <w:szCs w:val="24"/>
        </w:rPr>
      </w:pPr>
      <w:r w:rsidRPr="004130BD">
        <w:rPr>
          <w:rFonts w:ascii="Cambria" w:hAnsi="Cambria"/>
          <w:color w:val="000000" w:themeColor="text1"/>
          <w:sz w:val="24"/>
          <w:szCs w:val="24"/>
        </w:rPr>
        <w:t xml:space="preserve">In light of this, we think there are two different ways to interpret our results of relative non-responsiveness of the 10-year interest rate.  First it is possible that the Reserve Bank is not responding strongly with interest rate changes to the international shocks, either because they fail to identify the shocks in a timely manner or if they perceive the tradeoff as too costly. Alternatively, the Reserve Bank is indeed responding to these shocks by changing interest rates but that the transmission mechanism of monetary policy in India is weak and thus there are no substantial effects on the long rate.  </w:t>
      </w:r>
    </w:p>
    <w:p w14:paraId="57EDE840" w14:textId="662AE656" w:rsidR="00AC2894" w:rsidRDefault="00AC2894" w:rsidP="00AC2894">
      <w:pPr>
        <w:jc w:val="both"/>
        <w:rPr>
          <w:rFonts w:ascii="Cambria" w:hAnsi="Cambria"/>
          <w:b/>
          <w:i/>
          <w:color w:val="000000" w:themeColor="text1"/>
          <w:sz w:val="24"/>
          <w:szCs w:val="24"/>
        </w:rPr>
      </w:pPr>
      <w:r w:rsidRPr="004130BD">
        <w:rPr>
          <w:rFonts w:ascii="Cambria" w:hAnsi="Cambria"/>
          <w:color w:val="000000" w:themeColor="text1"/>
          <w:sz w:val="24"/>
          <w:szCs w:val="24"/>
        </w:rPr>
        <w:t>But the Reserve Bank of India has also intervened in the exchange rate market in response of international events.  Our results from the split-sample estimation show that in response to adverse monetary and oil shocks, the Indian rupee depreciates less in the more recent sample.  One potential factor could be the actions (or anticipated actions) of the Reserve Bank of India becoming stronger in the last decade or so.  Our results highlight that disentangling these different channels is important to understand the role of monetary policy in overall stabilization policy</w:t>
      </w:r>
    </w:p>
    <w:p w14:paraId="616BC03D" w14:textId="6F960159" w:rsidR="00F92C83" w:rsidRPr="00485CD6" w:rsidRDefault="00B631AF" w:rsidP="009C6CD0">
      <w:pPr>
        <w:jc w:val="both"/>
        <w:rPr>
          <w:rFonts w:ascii="Cambria" w:hAnsi="Cambria"/>
          <w:b/>
          <w:i/>
          <w:color w:val="000000" w:themeColor="text1"/>
          <w:sz w:val="24"/>
          <w:szCs w:val="24"/>
        </w:rPr>
      </w:pPr>
      <w:r w:rsidRPr="00485CD6">
        <w:rPr>
          <w:rFonts w:ascii="Cambria" w:hAnsi="Cambria"/>
          <w:b/>
          <w:i/>
          <w:color w:val="000000" w:themeColor="text1"/>
          <w:sz w:val="24"/>
          <w:szCs w:val="24"/>
        </w:rPr>
        <w:t>4.</w:t>
      </w:r>
      <w:r w:rsidR="00AC2894">
        <w:rPr>
          <w:rFonts w:ascii="Cambria" w:hAnsi="Cambria"/>
          <w:b/>
          <w:i/>
          <w:color w:val="000000" w:themeColor="text1"/>
          <w:sz w:val="24"/>
          <w:szCs w:val="24"/>
        </w:rPr>
        <w:t>4</w:t>
      </w:r>
      <w:r w:rsidRPr="00485CD6">
        <w:rPr>
          <w:rFonts w:ascii="Cambria" w:hAnsi="Cambria"/>
          <w:b/>
          <w:i/>
          <w:color w:val="000000" w:themeColor="text1"/>
          <w:sz w:val="24"/>
          <w:szCs w:val="24"/>
        </w:rPr>
        <w:t xml:space="preserve"> </w:t>
      </w:r>
      <w:r w:rsidR="00F92C83" w:rsidRPr="00485CD6">
        <w:rPr>
          <w:rFonts w:ascii="Cambria" w:hAnsi="Cambria"/>
          <w:b/>
          <w:i/>
          <w:color w:val="000000" w:themeColor="text1"/>
          <w:sz w:val="24"/>
          <w:szCs w:val="24"/>
        </w:rPr>
        <w:t>Variance Decomposition for Indian economy</w:t>
      </w:r>
    </w:p>
    <w:p w14:paraId="7DBABCCC" w14:textId="00622DB8" w:rsidR="00F92C83" w:rsidRPr="009C6CD0" w:rsidRDefault="00F92C83" w:rsidP="009C6CD0">
      <w:pPr>
        <w:pStyle w:val="NormalWeb"/>
        <w:jc w:val="both"/>
        <w:rPr>
          <w:rFonts w:ascii="Cambria" w:hAnsi="Cambria"/>
          <w:color w:val="000000" w:themeColor="text1"/>
        </w:rPr>
      </w:pPr>
      <w:r w:rsidRPr="009C6CD0">
        <w:rPr>
          <w:rFonts w:ascii="Cambria" w:hAnsi="Cambria"/>
          <w:color w:val="000000" w:themeColor="text1"/>
        </w:rPr>
        <w:t xml:space="preserve">We now consider what each shock implies about the contribution to the forecast error variance of the core Indian macro variables. In principle these quantities can be calculated from the local projection framework, however we found that in practice the estimates implied that the total contribution of the shocks would add up to more than 100%. This is a finding that is common in the literature, see for example </w:t>
      </w:r>
      <w:r w:rsidR="004D025E" w:rsidRPr="009C6CD0">
        <w:rPr>
          <w:rFonts w:ascii="Cambria" w:hAnsi="Cambria"/>
          <w:color w:val="000000" w:themeColor="text1"/>
        </w:rPr>
        <w:t>Ramey (2016)</w:t>
      </w:r>
      <w:r w:rsidRPr="009C6CD0">
        <w:rPr>
          <w:rFonts w:ascii="Cambria" w:hAnsi="Cambria"/>
          <w:color w:val="000000" w:themeColor="text1"/>
        </w:rPr>
        <w:t xml:space="preserve">.  </w:t>
      </w:r>
      <w:r w:rsidR="00EA165D" w:rsidRPr="009C6CD0">
        <w:rPr>
          <w:rFonts w:ascii="Cambria" w:hAnsi="Cambria"/>
          <w:color w:val="000000" w:themeColor="text1"/>
        </w:rPr>
        <w:t>Thus,</w:t>
      </w:r>
      <w:r w:rsidRPr="009C6CD0">
        <w:rPr>
          <w:rFonts w:ascii="Cambria" w:hAnsi="Cambria"/>
          <w:color w:val="000000" w:themeColor="text1"/>
        </w:rPr>
        <w:t xml:space="preserve"> we use the structural vector autoregression (SVAR) framework to compute the forecast error variance decompositions.  We include all four shocks at the same time in the following order: </w:t>
      </w:r>
      <w:proofErr w:type="spellStart"/>
      <w:r w:rsidR="006A6832" w:rsidRPr="009C6CD0">
        <w:rPr>
          <w:rFonts w:ascii="Cambria" w:hAnsi="Cambria"/>
          <w:color w:val="000000" w:themeColor="text1"/>
        </w:rPr>
        <w:t>i</w:t>
      </w:r>
      <w:proofErr w:type="spellEnd"/>
      <w:r w:rsidR="006A6832" w:rsidRPr="009C6CD0">
        <w:rPr>
          <w:rFonts w:ascii="Cambria" w:hAnsi="Cambria"/>
          <w:color w:val="000000" w:themeColor="text1"/>
        </w:rPr>
        <w:t>) economic</w:t>
      </w:r>
      <w:r w:rsidRPr="009C6CD0">
        <w:rPr>
          <w:rFonts w:ascii="Cambria" w:hAnsi="Cambria"/>
          <w:color w:val="000000" w:themeColor="text1"/>
        </w:rPr>
        <w:t xml:space="preserve"> policy uncertainty shock,</w:t>
      </w:r>
      <w:r w:rsidR="006A6832" w:rsidRPr="009C6CD0">
        <w:rPr>
          <w:rFonts w:ascii="Cambria" w:hAnsi="Cambria"/>
          <w:color w:val="000000" w:themeColor="text1"/>
        </w:rPr>
        <w:t xml:space="preserve"> </w:t>
      </w:r>
      <w:r w:rsidRPr="009C6CD0">
        <w:rPr>
          <w:rFonts w:ascii="Cambria" w:hAnsi="Cambria"/>
          <w:color w:val="000000" w:themeColor="text1"/>
        </w:rPr>
        <w:t>ii)</w:t>
      </w:r>
      <w:r w:rsidR="00994DA3" w:rsidRPr="009C6CD0">
        <w:rPr>
          <w:rFonts w:ascii="Cambria" w:hAnsi="Cambria"/>
          <w:color w:val="000000" w:themeColor="text1"/>
        </w:rPr>
        <w:t xml:space="preserve"> </w:t>
      </w:r>
      <w:r w:rsidRPr="009C6CD0">
        <w:rPr>
          <w:rFonts w:ascii="Cambria" w:hAnsi="Cambria"/>
          <w:color w:val="000000" w:themeColor="text1"/>
        </w:rPr>
        <w:t>geopolitical risk shock, iii)</w:t>
      </w:r>
      <w:r w:rsidR="00F32BBB" w:rsidRPr="009C6CD0">
        <w:rPr>
          <w:rFonts w:ascii="Cambria" w:hAnsi="Cambria"/>
          <w:color w:val="000000" w:themeColor="text1"/>
        </w:rPr>
        <w:t xml:space="preserve"> </w:t>
      </w:r>
      <w:r w:rsidRPr="009C6CD0">
        <w:rPr>
          <w:rFonts w:ascii="Cambria" w:hAnsi="Cambria"/>
          <w:color w:val="000000" w:themeColor="text1"/>
        </w:rPr>
        <w:t>monetary policy shock and iv)</w:t>
      </w:r>
      <w:r w:rsidR="0047274C" w:rsidRPr="009C6CD0">
        <w:rPr>
          <w:rFonts w:ascii="Cambria" w:hAnsi="Cambria"/>
          <w:color w:val="000000" w:themeColor="text1"/>
        </w:rPr>
        <w:t xml:space="preserve"> </w:t>
      </w:r>
      <w:r w:rsidRPr="009C6CD0">
        <w:rPr>
          <w:rFonts w:ascii="Cambria" w:hAnsi="Cambria"/>
          <w:color w:val="000000" w:themeColor="text1"/>
        </w:rPr>
        <w:t>oil supply shock.  While the total share of the forecast error variance to these four shocks is not affected by the ordering the relative contribution of each shock can be affected by the ordering.  We found that in practice the relative shares are similar regardless of the ordering that we choose. The baseline sample runs from January 1997 to December 2017.</w:t>
      </w:r>
    </w:p>
    <w:p w14:paraId="7FE9D9BD" w14:textId="77777777" w:rsidR="00F92C83" w:rsidRPr="009C6CD0" w:rsidRDefault="00F92C83" w:rsidP="009C6CD0">
      <w:pPr>
        <w:jc w:val="both"/>
        <w:rPr>
          <w:rFonts w:ascii="Cambria" w:hAnsi="Cambria"/>
          <w:color w:val="000000" w:themeColor="text1"/>
          <w:sz w:val="24"/>
          <w:szCs w:val="24"/>
        </w:rPr>
      </w:pPr>
    </w:p>
    <w:p w14:paraId="49531CC6" w14:textId="415A88DC" w:rsidR="00F92C83" w:rsidRPr="009C6CD0" w:rsidRDefault="00995B26" w:rsidP="009C6CD0">
      <w:pPr>
        <w:jc w:val="both"/>
        <w:rPr>
          <w:rFonts w:ascii="Cambria" w:hAnsi="Cambria"/>
          <w:color w:val="000000" w:themeColor="text1"/>
          <w:sz w:val="24"/>
          <w:szCs w:val="24"/>
        </w:rPr>
      </w:pPr>
      <w:r w:rsidRPr="009C6CD0">
        <w:rPr>
          <w:rFonts w:ascii="Cambria" w:hAnsi="Cambria"/>
          <w:color w:val="000000" w:themeColor="text1"/>
          <w:sz w:val="24"/>
          <w:szCs w:val="24"/>
        </w:rPr>
        <w:lastRenderedPageBreak/>
        <w:t>TABLE 1</w:t>
      </w:r>
      <w:r w:rsidR="00F92C83" w:rsidRPr="009C6CD0">
        <w:rPr>
          <w:rFonts w:ascii="Cambria" w:hAnsi="Cambria"/>
          <w:color w:val="000000" w:themeColor="text1"/>
          <w:sz w:val="24"/>
          <w:szCs w:val="24"/>
        </w:rPr>
        <w:t xml:space="preserve"> presents these variance decompositions.  The top left panel shows the contribution of the U.S. monetary policy shock.  On impact, this shock has a small contribution, explaining about 1</w:t>
      </w:r>
      <w:r w:rsidR="0074480E" w:rsidRPr="009C6CD0">
        <w:rPr>
          <w:rFonts w:ascii="Cambria" w:hAnsi="Cambria"/>
          <w:color w:val="000000" w:themeColor="text1"/>
          <w:sz w:val="24"/>
          <w:szCs w:val="24"/>
        </w:rPr>
        <w:t>–</w:t>
      </w:r>
      <w:r w:rsidR="00F92C83" w:rsidRPr="009C6CD0">
        <w:rPr>
          <w:rFonts w:ascii="Cambria" w:hAnsi="Cambria"/>
          <w:color w:val="000000" w:themeColor="text1"/>
          <w:sz w:val="24"/>
          <w:szCs w:val="24"/>
        </w:rPr>
        <w:t xml:space="preserve">2% of the movement in the macro and financial variables.  At longer horizons we see a substantially bigger effect, explaining 13% of variation in output at the 1 to </w:t>
      </w:r>
      <w:r w:rsidR="000F7CF2" w:rsidRPr="009C6CD0">
        <w:rPr>
          <w:rFonts w:ascii="Cambria" w:hAnsi="Cambria"/>
          <w:color w:val="000000" w:themeColor="text1"/>
          <w:sz w:val="24"/>
          <w:szCs w:val="24"/>
        </w:rPr>
        <w:t>4-year</w:t>
      </w:r>
      <w:r w:rsidR="00F92C83" w:rsidRPr="009C6CD0">
        <w:rPr>
          <w:rFonts w:ascii="Cambria" w:hAnsi="Cambria"/>
          <w:color w:val="000000" w:themeColor="text1"/>
          <w:sz w:val="24"/>
          <w:szCs w:val="24"/>
        </w:rPr>
        <w:t xml:space="preserve"> horizon.  The U.S. monetary policy shock also has a similar long-term impact on the stock market and the </w:t>
      </w:r>
      <w:r w:rsidR="000F7CF2" w:rsidRPr="009C6CD0">
        <w:rPr>
          <w:rFonts w:ascii="Cambria" w:hAnsi="Cambria"/>
          <w:color w:val="000000" w:themeColor="text1"/>
          <w:sz w:val="24"/>
          <w:szCs w:val="24"/>
        </w:rPr>
        <w:t>10-year</w:t>
      </w:r>
      <w:r w:rsidR="00F92C83" w:rsidRPr="009C6CD0">
        <w:rPr>
          <w:rFonts w:ascii="Cambria" w:hAnsi="Cambria"/>
          <w:color w:val="000000" w:themeColor="text1"/>
          <w:sz w:val="24"/>
          <w:szCs w:val="24"/>
        </w:rPr>
        <w:t xml:space="preserve"> bond rate explaining roughly 10% at longer horizons.  Somewhat surprisingly, the contribution of the monetary policy shock to the exchange rate is smaller.  We also note that the shock does not explain much of the contribution to prices.</w:t>
      </w:r>
    </w:p>
    <w:p w14:paraId="1483AE2D" w14:textId="03EE5873" w:rsidR="00F92C83" w:rsidRPr="00D432FE" w:rsidRDefault="00D03F54" w:rsidP="00D03F54">
      <w:pPr>
        <w:pStyle w:val="BodyText"/>
        <w:spacing w:before="97"/>
        <w:ind w:left="0" w:right="1257" w:firstLine="0"/>
        <w:rPr>
          <w:rFonts w:ascii="Cambria" w:hAnsi="Cambria"/>
          <w:sz w:val="22"/>
          <w:szCs w:val="22"/>
        </w:rPr>
      </w:pPr>
      <w:r w:rsidRPr="00D432FE">
        <w:rPr>
          <w:rFonts w:ascii="Cambria" w:hAnsi="Cambria"/>
          <w:sz w:val="22"/>
          <w:szCs w:val="22"/>
        </w:rPr>
        <w:t>TABLE 1: Individual shock contribution to the forecast error variance</w:t>
      </w:r>
    </w:p>
    <w:tbl>
      <w:tblPr>
        <w:tblW w:w="10403" w:type="dxa"/>
        <w:tblInd w:w="-360" w:type="dxa"/>
        <w:tblLayout w:type="fixed"/>
        <w:tblCellMar>
          <w:left w:w="0" w:type="dxa"/>
          <w:right w:w="0" w:type="dxa"/>
        </w:tblCellMar>
        <w:tblLook w:val="01E0" w:firstRow="1" w:lastRow="1" w:firstColumn="1" w:lastColumn="1" w:noHBand="0" w:noVBand="0"/>
      </w:tblPr>
      <w:tblGrid>
        <w:gridCol w:w="1620"/>
        <w:gridCol w:w="810"/>
        <w:gridCol w:w="900"/>
        <w:gridCol w:w="990"/>
        <w:gridCol w:w="921"/>
        <w:gridCol w:w="839"/>
        <w:gridCol w:w="239"/>
        <w:gridCol w:w="757"/>
        <w:gridCol w:w="784"/>
        <w:gridCol w:w="866"/>
        <w:gridCol w:w="866"/>
        <w:gridCol w:w="811"/>
      </w:tblGrid>
      <w:tr w:rsidR="00DD0400" w:rsidRPr="007F6399" w14:paraId="70437D1E" w14:textId="77777777" w:rsidTr="00FA12EE">
        <w:trPr>
          <w:trHeight w:val="375"/>
        </w:trPr>
        <w:tc>
          <w:tcPr>
            <w:tcW w:w="1620" w:type="dxa"/>
            <w:tcBorders>
              <w:bottom w:val="single" w:sz="6" w:space="0" w:color="000000"/>
            </w:tcBorders>
          </w:tcPr>
          <w:p w14:paraId="6C2E0D1B" w14:textId="77777777" w:rsidR="00DD0400" w:rsidRPr="007F6399" w:rsidRDefault="00DD0400" w:rsidP="00BA0494">
            <w:pPr>
              <w:pStyle w:val="TableParagraph"/>
              <w:spacing w:line="240" w:lineRule="auto"/>
              <w:ind w:left="0"/>
              <w:jc w:val="left"/>
              <w:rPr>
                <w:rFonts w:ascii="Cambria" w:hAnsi="Cambria"/>
              </w:rPr>
            </w:pPr>
          </w:p>
        </w:tc>
        <w:tc>
          <w:tcPr>
            <w:tcW w:w="4460" w:type="dxa"/>
            <w:gridSpan w:val="5"/>
            <w:tcBorders>
              <w:top w:val="single" w:sz="4" w:space="0" w:color="000000"/>
              <w:bottom w:val="single" w:sz="6" w:space="0" w:color="000000"/>
            </w:tcBorders>
          </w:tcPr>
          <w:p w14:paraId="157A827A" w14:textId="70D60E58" w:rsidR="00DD0400" w:rsidRPr="007F6399" w:rsidRDefault="00DD0400" w:rsidP="00BA0494">
            <w:pPr>
              <w:pStyle w:val="TableParagraph"/>
              <w:spacing w:before="49" w:line="240" w:lineRule="auto"/>
              <w:ind w:left="95" w:right="94"/>
              <w:rPr>
                <w:rFonts w:ascii="Cambria" w:hAnsi="Cambria"/>
              </w:rPr>
            </w:pPr>
            <w:r w:rsidRPr="007F6399">
              <w:rPr>
                <w:rFonts w:ascii="Cambria" w:hAnsi="Cambria"/>
              </w:rPr>
              <w:t>Monetary</w:t>
            </w:r>
            <w:r w:rsidRPr="007F6399">
              <w:rPr>
                <w:rFonts w:ascii="Cambria" w:hAnsi="Cambria"/>
                <w:spacing w:val="-6"/>
              </w:rPr>
              <w:t xml:space="preserve"> </w:t>
            </w:r>
            <w:r w:rsidRPr="007F6399">
              <w:rPr>
                <w:rFonts w:ascii="Cambria" w:hAnsi="Cambria"/>
              </w:rPr>
              <w:t>Policy</w:t>
            </w:r>
            <w:r w:rsidRPr="007F6399">
              <w:rPr>
                <w:rFonts w:ascii="Cambria" w:hAnsi="Cambria"/>
                <w:spacing w:val="-6"/>
              </w:rPr>
              <w:t xml:space="preserve"> </w:t>
            </w:r>
            <w:r w:rsidRPr="007F6399">
              <w:rPr>
                <w:rFonts w:ascii="Cambria" w:hAnsi="Cambria"/>
              </w:rPr>
              <w:t>Shock</w:t>
            </w:r>
          </w:p>
        </w:tc>
        <w:tc>
          <w:tcPr>
            <w:tcW w:w="239" w:type="dxa"/>
            <w:tcBorders>
              <w:bottom w:val="single" w:sz="6" w:space="0" w:color="000000"/>
            </w:tcBorders>
          </w:tcPr>
          <w:p w14:paraId="17EC2FF4" w14:textId="77777777" w:rsidR="00DD0400" w:rsidRPr="007F6399" w:rsidRDefault="00DD0400" w:rsidP="00BA0494">
            <w:pPr>
              <w:pStyle w:val="TableParagraph"/>
              <w:spacing w:line="240" w:lineRule="auto"/>
              <w:ind w:left="0"/>
              <w:jc w:val="left"/>
              <w:rPr>
                <w:rFonts w:ascii="Cambria" w:hAnsi="Cambria"/>
              </w:rPr>
            </w:pPr>
          </w:p>
        </w:tc>
        <w:tc>
          <w:tcPr>
            <w:tcW w:w="4084" w:type="dxa"/>
            <w:gridSpan w:val="5"/>
            <w:tcBorders>
              <w:top w:val="single" w:sz="4" w:space="0" w:color="000000"/>
              <w:bottom w:val="single" w:sz="6" w:space="0" w:color="000000"/>
            </w:tcBorders>
          </w:tcPr>
          <w:p w14:paraId="480B3029" w14:textId="29939644" w:rsidR="00DD0400" w:rsidRPr="007F6399" w:rsidRDefault="00DD0400" w:rsidP="00BA0494">
            <w:pPr>
              <w:pStyle w:val="TableParagraph"/>
              <w:spacing w:before="49" w:line="240" w:lineRule="auto"/>
              <w:ind w:left="103" w:right="122"/>
              <w:rPr>
                <w:rFonts w:ascii="Cambria" w:hAnsi="Cambria"/>
              </w:rPr>
            </w:pPr>
            <w:r w:rsidRPr="007F6399">
              <w:rPr>
                <w:rFonts w:ascii="Cambria" w:hAnsi="Cambria"/>
              </w:rPr>
              <w:t>Economic Policy Uncertainty</w:t>
            </w:r>
            <w:r w:rsidRPr="007F6399">
              <w:rPr>
                <w:rFonts w:ascii="Cambria" w:hAnsi="Cambria"/>
                <w:spacing w:val="-6"/>
              </w:rPr>
              <w:t xml:space="preserve"> </w:t>
            </w:r>
            <w:r w:rsidRPr="007F6399">
              <w:rPr>
                <w:rFonts w:ascii="Cambria" w:hAnsi="Cambria"/>
              </w:rPr>
              <w:t>Shock</w:t>
            </w:r>
          </w:p>
        </w:tc>
      </w:tr>
      <w:tr w:rsidR="00DD0400" w:rsidRPr="007F6399" w14:paraId="036ABA49" w14:textId="77777777" w:rsidTr="00FA12EE">
        <w:trPr>
          <w:trHeight w:val="375"/>
        </w:trPr>
        <w:tc>
          <w:tcPr>
            <w:tcW w:w="1620" w:type="dxa"/>
            <w:tcBorders>
              <w:bottom w:val="single" w:sz="6" w:space="0" w:color="000000"/>
            </w:tcBorders>
          </w:tcPr>
          <w:p w14:paraId="7C297A83" w14:textId="77777777" w:rsidR="00DD0400" w:rsidRPr="007F6399" w:rsidRDefault="00DD0400" w:rsidP="00BA0494">
            <w:pPr>
              <w:pStyle w:val="TableParagraph"/>
              <w:spacing w:line="240" w:lineRule="auto"/>
              <w:ind w:left="0"/>
              <w:jc w:val="left"/>
              <w:rPr>
                <w:rFonts w:ascii="Cambria" w:hAnsi="Cambria"/>
              </w:rPr>
            </w:pPr>
          </w:p>
        </w:tc>
        <w:tc>
          <w:tcPr>
            <w:tcW w:w="810" w:type="dxa"/>
            <w:tcBorders>
              <w:top w:val="single" w:sz="4" w:space="0" w:color="000000"/>
              <w:bottom w:val="single" w:sz="6" w:space="0" w:color="000000"/>
            </w:tcBorders>
          </w:tcPr>
          <w:p w14:paraId="5E4E004E" w14:textId="77777777" w:rsidR="00DD0400" w:rsidRPr="007F6399" w:rsidRDefault="00DD0400" w:rsidP="00BA0494">
            <w:pPr>
              <w:pStyle w:val="TableParagraph"/>
              <w:spacing w:before="49" w:line="240" w:lineRule="auto"/>
              <w:ind w:left="0"/>
              <w:rPr>
                <w:rFonts w:ascii="Cambria" w:hAnsi="Cambria"/>
              </w:rPr>
            </w:pPr>
            <w:r w:rsidRPr="007F6399">
              <w:rPr>
                <w:rFonts w:ascii="Cambria" w:hAnsi="Cambria"/>
                <w:w w:val="99"/>
              </w:rPr>
              <w:t>1</w:t>
            </w:r>
          </w:p>
        </w:tc>
        <w:tc>
          <w:tcPr>
            <w:tcW w:w="900" w:type="dxa"/>
            <w:tcBorders>
              <w:top w:val="single" w:sz="4" w:space="0" w:color="000000"/>
              <w:bottom w:val="single" w:sz="6" w:space="0" w:color="000000"/>
            </w:tcBorders>
          </w:tcPr>
          <w:p w14:paraId="716E8EF8" w14:textId="77777777" w:rsidR="00DD0400" w:rsidRPr="007F6399" w:rsidRDefault="00DD0400" w:rsidP="00BA0494">
            <w:pPr>
              <w:pStyle w:val="TableParagraph"/>
              <w:spacing w:before="49" w:line="240" w:lineRule="auto"/>
              <w:ind w:left="1"/>
              <w:rPr>
                <w:rFonts w:ascii="Cambria" w:hAnsi="Cambria"/>
              </w:rPr>
            </w:pPr>
            <w:r w:rsidRPr="007F6399">
              <w:rPr>
                <w:rFonts w:ascii="Cambria" w:hAnsi="Cambria"/>
                <w:w w:val="99"/>
              </w:rPr>
              <w:t>6</w:t>
            </w:r>
          </w:p>
        </w:tc>
        <w:tc>
          <w:tcPr>
            <w:tcW w:w="990" w:type="dxa"/>
            <w:tcBorders>
              <w:top w:val="single" w:sz="4" w:space="0" w:color="000000"/>
              <w:bottom w:val="single" w:sz="6" w:space="0" w:color="000000"/>
            </w:tcBorders>
          </w:tcPr>
          <w:p w14:paraId="396FA9BE" w14:textId="77777777" w:rsidR="00DD0400" w:rsidRPr="007F6399" w:rsidRDefault="00DD0400" w:rsidP="00BA0494">
            <w:pPr>
              <w:pStyle w:val="TableParagraph"/>
              <w:spacing w:before="49" w:line="240" w:lineRule="auto"/>
              <w:ind w:left="95" w:right="94"/>
              <w:rPr>
                <w:rFonts w:ascii="Cambria" w:hAnsi="Cambria"/>
              </w:rPr>
            </w:pPr>
            <w:r w:rsidRPr="007F6399">
              <w:rPr>
                <w:rFonts w:ascii="Cambria" w:hAnsi="Cambria"/>
              </w:rPr>
              <w:t>12</w:t>
            </w:r>
          </w:p>
        </w:tc>
        <w:tc>
          <w:tcPr>
            <w:tcW w:w="921" w:type="dxa"/>
            <w:tcBorders>
              <w:top w:val="single" w:sz="4" w:space="0" w:color="000000"/>
              <w:bottom w:val="single" w:sz="6" w:space="0" w:color="000000"/>
            </w:tcBorders>
          </w:tcPr>
          <w:p w14:paraId="0BCFBC5D" w14:textId="77777777" w:rsidR="00DD0400" w:rsidRPr="007F6399" w:rsidRDefault="00DD0400" w:rsidP="00BA0494">
            <w:pPr>
              <w:pStyle w:val="TableParagraph"/>
              <w:spacing w:before="49" w:line="240" w:lineRule="auto"/>
              <w:ind w:left="95" w:right="94"/>
              <w:rPr>
                <w:rFonts w:ascii="Cambria" w:hAnsi="Cambria"/>
              </w:rPr>
            </w:pPr>
            <w:r w:rsidRPr="007F6399">
              <w:rPr>
                <w:rFonts w:ascii="Cambria" w:hAnsi="Cambria"/>
              </w:rPr>
              <w:t>24</w:t>
            </w:r>
          </w:p>
        </w:tc>
        <w:tc>
          <w:tcPr>
            <w:tcW w:w="839" w:type="dxa"/>
            <w:tcBorders>
              <w:top w:val="single" w:sz="4" w:space="0" w:color="000000"/>
              <w:bottom w:val="single" w:sz="6" w:space="0" w:color="000000"/>
            </w:tcBorders>
          </w:tcPr>
          <w:p w14:paraId="3B79E333" w14:textId="77777777" w:rsidR="00DD0400" w:rsidRPr="007F6399" w:rsidRDefault="00DD0400" w:rsidP="00BA0494">
            <w:pPr>
              <w:pStyle w:val="TableParagraph"/>
              <w:spacing w:before="49" w:line="240" w:lineRule="auto"/>
              <w:ind w:left="95" w:right="94"/>
              <w:rPr>
                <w:rFonts w:ascii="Cambria" w:hAnsi="Cambria"/>
              </w:rPr>
            </w:pPr>
            <w:r w:rsidRPr="007F6399">
              <w:rPr>
                <w:rFonts w:ascii="Cambria" w:hAnsi="Cambria"/>
              </w:rPr>
              <w:t>48</w:t>
            </w:r>
          </w:p>
        </w:tc>
        <w:tc>
          <w:tcPr>
            <w:tcW w:w="239" w:type="dxa"/>
            <w:tcBorders>
              <w:bottom w:val="single" w:sz="6" w:space="0" w:color="000000"/>
            </w:tcBorders>
          </w:tcPr>
          <w:p w14:paraId="4E0DE3D5" w14:textId="77777777" w:rsidR="00DD0400" w:rsidRPr="007F6399" w:rsidRDefault="00DD0400" w:rsidP="00BA0494">
            <w:pPr>
              <w:pStyle w:val="TableParagraph"/>
              <w:spacing w:line="240" w:lineRule="auto"/>
              <w:ind w:left="0"/>
              <w:jc w:val="left"/>
              <w:rPr>
                <w:rFonts w:ascii="Cambria" w:hAnsi="Cambria"/>
              </w:rPr>
            </w:pPr>
          </w:p>
        </w:tc>
        <w:tc>
          <w:tcPr>
            <w:tcW w:w="757" w:type="dxa"/>
            <w:tcBorders>
              <w:top w:val="single" w:sz="4" w:space="0" w:color="000000"/>
              <w:bottom w:val="single" w:sz="6" w:space="0" w:color="000000"/>
            </w:tcBorders>
          </w:tcPr>
          <w:p w14:paraId="05EA4716" w14:textId="77777777" w:rsidR="00DD0400" w:rsidRPr="007F6399" w:rsidRDefault="00DD0400" w:rsidP="00BA0494">
            <w:pPr>
              <w:pStyle w:val="TableParagraph"/>
              <w:spacing w:before="49" w:line="240" w:lineRule="auto"/>
              <w:ind w:left="0" w:right="23"/>
              <w:rPr>
                <w:rFonts w:ascii="Cambria" w:hAnsi="Cambria"/>
              </w:rPr>
            </w:pPr>
            <w:r w:rsidRPr="007F6399">
              <w:rPr>
                <w:rFonts w:ascii="Cambria" w:hAnsi="Cambria"/>
                <w:w w:val="99"/>
              </w:rPr>
              <w:t>1</w:t>
            </w:r>
          </w:p>
        </w:tc>
        <w:tc>
          <w:tcPr>
            <w:tcW w:w="784" w:type="dxa"/>
            <w:tcBorders>
              <w:top w:val="single" w:sz="4" w:space="0" w:color="000000"/>
              <w:bottom w:val="single" w:sz="6" w:space="0" w:color="000000"/>
            </w:tcBorders>
          </w:tcPr>
          <w:p w14:paraId="07B5CF44" w14:textId="77777777" w:rsidR="00DD0400" w:rsidRPr="007F6399" w:rsidRDefault="00DD0400" w:rsidP="00BA0494">
            <w:pPr>
              <w:pStyle w:val="TableParagraph"/>
              <w:spacing w:before="49" w:line="240" w:lineRule="auto"/>
              <w:ind w:left="2"/>
              <w:rPr>
                <w:rFonts w:ascii="Cambria" w:hAnsi="Cambria"/>
              </w:rPr>
            </w:pPr>
            <w:r w:rsidRPr="007F6399">
              <w:rPr>
                <w:rFonts w:ascii="Cambria" w:hAnsi="Cambria"/>
                <w:w w:val="99"/>
              </w:rPr>
              <w:t>6</w:t>
            </w:r>
          </w:p>
        </w:tc>
        <w:tc>
          <w:tcPr>
            <w:tcW w:w="866" w:type="dxa"/>
            <w:tcBorders>
              <w:top w:val="single" w:sz="4" w:space="0" w:color="000000"/>
              <w:bottom w:val="single" w:sz="6" w:space="0" w:color="000000"/>
            </w:tcBorders>
          </w:tcPr>
          <w:p w14:paraId="64DD26FD" w14:textId="77777777" w:rsidR="00DD0400" w:rsidRPr="007F6399" w:rsidRDefault="00DD0400" w:rsidP="00BA0494">
            <w:pPr>
              <w:pStyle w:val="TableParagraph"/>
              <w:spacing w:before="49" w:line="240" w:lineRule="auto"/>
              <w:ind w:left="100" w:right="69"/>
              <w:rPr>
                <w:rFonts w:ascii="Cambria" w:hAnsi="Cambria"/>
              </w:rPr>
            </w:pPr>
            <w:r w:rsidRPr="007F6399">
              <w:rPr>
                <w:rFonts w:ascii="Cambria" w:hAnsi="Cambria"/>
              </w:rPr>
              <w:t>12</w:t>
            </w:r>
          </w:p>
        </w:tc>
        <w:tc>
          <w:tcPr>
            <w:tcW w:w="866" w:type="dxa"/>
            <w:tcBorders>
              <w:top w:val="single" w:sz="4" w:space="0" w:color="000000"/>
              <w:bottom w:val="single" w:sz="6" w:space="0" w:color="000000"/>
            </w:tcBorders>
          </w:tcPr>
          <w:p w14:paraId="132D9619" w14:textId="77777777" w:rsidR="00DD0400" w:rsidRPr="007F6399" w:rsidRDefault="00DD0400" w:rsidP="00BA0494">
            <w:pPr>
              <w:pStyle w:val="TableParagraph"/>
              <w:spacing w:before="49" w:line="240" w:lineRule="auto"/>
              <w:ind w:left="75" w:right="95"/>
              <w:rPr>
                <w:rFonts w:ascii="Cambria" w:hAnsi="Cambria"/>
              </w:rPr>
            </w:pPr>
            <w:r w:rsidRPr="007F6399">
              <w:rPr>
                <w:rFonts w:ascii="Cambria" w:hAnsi="Cambria"/>
              </w:rPr>
              <w:t>24</w:t>
            </w:r>
          </w:p>
        </w:tc>
        <w:tc>
          <w:tcPr>
            <w:tcW w:w="811" w:type="dxa"/>
            <w:tcBorders>
              <w:top w:val="single" w:sz="4" w:space="0" w:color="000000"/>
              <w:bottom w:val="single" w:sz="6" w:space="0" w:color="000000"/>
            </w:tcBorders>
          </w:tcPr>
          <w:p w14:paraId="56E3FCEB" w14:textId="77777777" w:rsidR="00DD0400" w:rsidRPr="007F6399" w:rsidRDefault="00DD0400" w:rsidP="00BA0494">
            <w:pPr>
              <w:pStyle w:val="TableParagraph"/>
              <w:spacing w:before="49" w:line="240" w:lineRule="auto"/>
              <w:ind w:left="103" w:right="122"/>
              <w:rPr>
                <w:rFonts w:ascii="Cambria" w:hAnsi="Cambria"/>
              </w:rPr>
            </w:pPr>
            <w:r w:rsidRPr="007F6399">
              <w:rPr>
                <w:rFonts w:ascii="Cambria" w:hAnsi="Cambria"/>
              </w:rPr>
              <w:t>48</w:t>
            </w:r>
          </w:p>
        </w:tc>
      </w:tr>
      <w:tr w:rsidR="00DD0400" w:rsidRPr="007F6399" w14:paraId="18F088EA" w14:textId="77777777" w:rsidTr="00FA12EE">
        <w:trPr>
          <w:trHeight w:val="320"/>
        </w:trPr>
        <w:tc>
          <w:tcPr>
            <w:tcW w:w="1620" w:type="dxa"/>
            <w:tcBorders>
              <w:top w:val="single" w:sz="6" w:space="0" w:color="000000"/>
            </w:tcBorders>
          </w:tcPr>
          <w:p w14:paraId="3079401D" w14:textId="77777777" w:rsidR="00DD0400" w:rsidRPr="007F6399" w:rsidRDefault="00DD0400" w:rsidP="00BA0494">
            <w:pPr>
              <w:pStyle w:val="TableParagraph"/>
              <w:spacing w:before="49"/>
              <w:ind w:left="119"/>
              <w:jc w:val="left"/>
              <w:rPr>
                <w:rFonts w:ascii="Cambria" w:hAnsi="Cambria"/>
              </w:rPr>
            </w:pPr>
            <w:r w:rsidRPr="007F6399">
              <w:rPr>
                <w:rFonts w:ascii="Cambria" w:hAnsi="Cambria"/>
              </w:rPr>
              <w:t>Stock market</w:t>
            </w:r>
          </w:p>
        </w:tc>
        <w:tc>
          <w:tcPr>
            <w:tcW w:w="810" w:type="dxa"/>
            <w:tcBorders>
              <w:top w:val="single" w:sz="6" w:space="0" w:color="000000"/>
            </w:tcBorders>
          </w:tcPr>
          <w:p w14:paraId="369D57DA" w14:textId="77777777" w:rsidR="00DD0400" w:rsidRPr="007F6399" w:rsidRDefault="00DD0400" w:rsidP="00BA0494">
            <w:pPr>
              <w:pStyle w:val="TableParagraph"/>
              <w:spacing w:before="49"/>
              <w:ind w:left="96" w:right="95"/>
              <w:rPr>
                <w:rFonts w:ascii="Cambria" w:hAnsi="Cambria"/>
              </w:rPr>
            </w:pPr>
            <w:r w:rsidRPr="007F6399">
              <w:rPr>
                <w:rFonts w:ascii="Cambria" w:hAnsi="Cambria"/>
              </w:rPr>
              <w:t>1.800</w:t>
            </w:r>
          </w:p>
        </w:tc>
        <w:tc>
          <w:tcPr>
            <w:tcW w:w="900" w:type="dxa"/>
            <w:tcBorders>
              <w:top w:val="single" w:sz="6" w:space="0" w:color="000000"/>
            </w:tcBorders>
          </w:tcPr>
          <w:p w14:paraId="4D400C54" w14:textId="77777777" w:rsidR="00DD0400" w:rsidRPr="007F6399" w:rsidRDefault="00DD0400" w:rsidP="00BA0494">
            <w:pPr>
              <w:pStyle w:val="TableParagraph"/>
              <w:spacing w:before="49"/>
              <w:ind w:left="96" w:right="95"/>
              <w:rPr>
                <w:rFonts w:ascii="Cambria" w:hAnsi="Cambria"/>
              </w:rPr>
            </w:pPr>
            <w:r w:rsidRPr="007F6399">
              <w:rPr>
                <w:rFonts w:ascii="Cambria" w:hAnsi="Cambria"/>
              </w:rPr>
              <w:t>3.913</w:t>
            </w:r>
          </w:p>
        </w:tc>
        <w:tc>
          <w:tcPr>
            <w:tcW w:w="990" w:type="dxa"/>
            <w:tcBorders>
              <w:top w:val="single" w:sz="6" w:space="0" w:color="000000"/>
            </w:tcBorders>
          </w:tcPr>
          <w:p w14:paraId="2D25CCF5" w14:textId="77777777" w:rsidR="00DD0400" w:rsidRPr="007F6399" w:rsidRDefault="00DD0400" w:rsidP="00BA0494">
            <w:pPr>
              <w:pStyle w:val="TableParagraph"/>
              <w:spacing w:before="49"/>
              <w:ind w:left="95" w:right="94"/>
              <w:rPr>
                <w:rFonts w:ascii="Cambria" w:hAnsi="Cambria"/>
              </w:rPr>
            </w:pPr>
            <w:r w:rsidRPr="007F6399">
              <w:rPr>
                <w:rFonts w:ascii="Cambria" w:hAnsi="Cambria"/>
              </w:rPr>
              <w:t>12.282</w:t>
            </w:r>
          </w:p>
        </w:tc>
        <w:tc>
          <w:tcPr>
            <w:tcW w:w="921" w:type="dxa"/>
            <w:tcBorders>
              <w:top w:val="single" w:sz="6" w:space="0" w:color="000000"/>
            </w:tcBorders>
          </w:tcPr>
          <w:p w14:paraId="1E348FB3" w14:textId="77777777" w:rsidR="00DD0400" w:rsidRPr="007F6399" w:rsidRDefault="00DD0400" w:rsidP="00BA0494">
            <w:pPr>
              <w:pStyle w:val="TableParagraph"/>
              <w:spacing w:before="49"/>
              <w:ind w:left="95" w:right="94"/>
              <w:rPr>
                <w:rFonts w:ascii="Cambria" w:hAnsi="Cambria"/>
              </w:rPr>
            </w:pPr>
            <w:r w:rsidRPr="007F6399">
              <w:rPr>
                <w:rFonts w:ascii="Cambria" w:hAnsi="Cambria"/>
              </w:rPr>
              <w:t>10.164</w:t>
            </w:r>
          </w:p>
        </w:tc>
        <w:tc>
          <w:tcPr>
            <w:tcW w:w="839" w:type="dxa"/>
            <w:tcBorders>
              <w:top w:val="single" w:sz="6" w:space="0" w:color="000000"/>
            </w:tcBorders>
          </w:tcPr>
          <w:p w14:paraId="61797E72" w14:textId="77777777" w:rsidR="00DD0400" w:rsidRPr="007F6399" w:rsidRDefault="00DD0400" w:rsidP="00BA0494">
            <w:pPr>
              <w:pStyle w:val="TableParagraph"/>
              <w:spacing w:before="49"/>
              <w:ind w:left="95" w:right="94"/>
              <w:rPr>
                <w:rFonts w:ascii="Cambria" w:hAnsi="Cambria"/>
              </w:rPr>
            </w:pPr>
            <w:r w:rsidRPr="007F6399">
              <w:rPr>
                <w:rFonts w:ascii="Cambria" w:hAnsi="Cambria"/>
              </w:rPr>
              <w:t>9.199</w:t>
            </w:r>
          </w:p>
        </w:tc>
        <w:tc>
          <w:tcPr>
            <w:tcW w:w="239" w:type="dxa"/>
            <w:tcBorders>
              <w:top w:val="single" w:sz="6" w:space="0" w:color="000000"/>
            </w:tcBorders>
          </w:tcPr>
          <w:p w14:paraId="0CF4D301" w14:textId="77777777" w:rsidR="00DD0400" w:rsidRPr="007F6399" w:rsidRDefault="00DD0400" w:rsidP="00BA0494">
            <w:pPr>
              <w:pStyle w:val="TableParagraph"/>
              <w:spacing w:line="240" w:lineRule="auto"/>
              <w:ind w:left="0"/>
              <w:jc w:val="left"/>
              <w:rPr>
                <w:rFonts w:ascii="Cambria" w:hAnsi="Cambria"/>
              </w:rPr>
            </w:pPr>
          </w:p>
        </w:tc>
        <w:tc>
          <w:tcPr>
            <w:tcW w:w="757" w:type="dxa"/>
            <w:tcBorders>
              <w:top w:val="single" w:sz="6" w:space="0" w:color="000000"/>
            </w:tcBorders>
          </w:tcPr>
          <w:p w14:paraId="274F7CF2" w14:textId="77777777" w:rsidR="00DD0400" w:rsidRPr="007F6399" w:rsidRDefault="00DD0400" w:rsidP="00BA0494">
            <w:pPr>
              <w:pStyle w:val="TableParagraph"/>
              <w:spacing w:before="49"/>
              <w:ind w:left="99" w:right="122"/>
              <w:rPr>
                <w:rFonts w:ascii="Cambria" w:hAnsi="Cambria"/>
              </w:rPr>
            </w:pPr>
            <w:r w:rsidRPr="007F6399">
              <w:rPr>
                <w:rFonts w:ascii="Cambria" w:hAnsi="Cambria"/>
              </w:rPr>
              <w:t>3.103</w:t>
            </w:r>
          </w:p>
        </w:tc>
        <w:tc>
          <w:tcPr>
            <w:tcW w:w="784" w:type="dxa"/>
            <w:tcBorders>
              <w:top w:val="single" w:sz="6" w:space="0" w:color="000000"/>
            </w:tcBorders>
          </w:tcPr>
          <w:p w14:paraId="2F791081" w14:textId="77777777" w:rsidR="00DD0400" w:rsidRPr="007F6399" w:rsidRDefault="00DD0400" w:rsidP="00BA0494">
            <w:pPr>
              <w:pStyle w:val="TableParagraph"/>
              <w:spacing w:before="49"/>
              <w:ind w:left="125" w:right="123"/>
              <w:rPr>
                <w:rFonts w:ascii="Cambria" w:hAnsi="Cambria"/>
              </w:rPr>
            </w:pPr>
            <w:r w:rsidRPr="007F6399">
              <w:rPr>
                <w:rFonts w:ascii="Cambria" w:hAnsi="Cambria"/>
              </w:rPr>
              <w:t>5.560</w:t>
            </w:r>
          </w:p>
        </w:tc>
        <w:tc>
          <w:tcPr>
            <w:tcW w:w="866" w:type="dxa"/>
            <w:tcBorders>
              <w:top w:val="single" w:sz="6" w:space="0" w:color="000000"/>
            </w:tcBorders>
          </w:tcPr>
          <w:p w14:paraId="527AEE5E" w14:textId="77777777" w:rsidR="00DD0400" w:rsidRPr="007F6399" w:rsidRDefault="00DD0400" w:rsidP="00BA0494">
            <w:pPr>
              <w:pStyle w:val="TableParagraph"/>
              <w:spacing w:before="49"/>
              <w:ind w:left="100" w:right="69"/>
              <w:rPr>
                <w:rFonts w:ascii="Cambria" w:hAnsi="Cambria"/>
              </w:rPr>
            </w:pPr>
            <w:r w:rsidRPr="007F6399">
              <w:rPr>
                <w:rFonts w:ascii="Cambria" w:hAnsi="Cambria"/>
              </w:rPr>
              <w:t>4.651</w:t>
            </w:r>
          </w:p>
        </w:tc>
        <w:tc>
          <w:tcPr>
            <w:tcW w:w="866" w:type="dxa"/>
            <w:tcBorders>
              <w:top w:val="single" w:sz="6" w:space="0" w:color="000000"/>
            </w:tcBorders>
          </w:tcPr>
          <w:p w14:paraId="51176D41" w14:textId="77777777" w:rsidR="00DD0400" w:rsidRPr="007F6399" w:rsidRDefault="00DD0400" w:rsidP="00BA0494">
            <w:pPr>
              <w:pStyle w:val="TableParagraph"/>
              <w:spacing w:before="49"/>
              <w:ind w:left="75" w:right="95"/>
              <w:rPr>
                <w:rFonts w:ascii="Cambria" w:hAnsi="Cambria"/>
              </w:rPr>
            </w:pPr>
            <w:r w:rsidRPr="007F6399">
              <w:rPr>
                <w:rFonts w:ascii="Cambria" w:hAnsi="Cambria"/>
              </w:rPr>
              <w:t>4.879</w:t>
            </w:r>
          </w:p>
        </w:tc>
        <w:tc>
          <w:tcPr>
            <w:tcW w:w="811" w:type="dxa"/>
            <w:tcBorders>
              <w:top w:val="single" w:sz="6" w:space="0" w:color="000000"/>
            </w:tcBorders>
          </w:tcPr>
          <w:p w14:paraId="0AC7400A" w14:textId="77777777" w:rsidR="00DD0400" w:rsidRPr="007F6399" w:rsidRDefault="00DD0400" w:rsidP="00BA0494">
            <w:pPr>
              <w:pStyle w:val="TableParagraph"/>
              <w:spacing w:before="49"/>
              <w:ind w:left="103" w:right="122"/>
              <w:rPr>
                <w:rFonts w:ascii="Cambria" w:hAnsi="Cambria"/>
              </w:rPr>
            </w:pPr>
            <w:r w:rsidRPr="007F6399">
              <w:rPr>
                <w:rFonts w:ascii="Cambria" w:hAnsi="Cambria"/>
              </w:rPr>
              <w:t>5.078</w:t>
            </w:r>
          </w:p>
        </w:tc>
      </w:tr>
      <w:tr w:rsidR="00DD0400" w:rsidRPr="007F6399" w14:paraId="5762C06F" w14:textId="77777777" w:rsidTr="00FA12EE">
        <w:trPr>
          <w:trHeight w:val="270"/>
        </w:trPr>
        <w:tc>
          <w:tcPr>
            <w:tcW w:w="1620" w:type="dxa"/>
          </w:tcPr>
          <w:p w14:paraId="5EC14535" w14:textId="77777777" w:rsidR="00DD0400" w:rsidRPr="007F6399" w:rsidRDefault="00DD0400" w:rsidP="00BA0494">
            <w:pPr>
              <w:pStyle w:val="TableParagraph"/>
              <w:ind w:left="119"/>
              <w:jc w:val="left"/>
              <w:rPr>
                <w:rFonts w:ascii="Cambria" w:hAnsi="Cambria"/>
              </w:rPr>
            </w:pPr>
            <w:r w:rsidRPr="007F6399">
              <w:rPr>
                <w:rFonts w:ascii="Cambria" w:hAnsi="Cambria"/>
              </w:rPr>
              <w:t>USD/INR</w:t>
            </w:r>
          </w:p>
        </w:tc>
        <w:tc>
          <w:tcPr>
            <w:tcW w:w="810" w:type="dxa"/>
          </w:tcPr>
          <w:p w14:paraId="3788F80B" w14:textId="77777777" w:rsidR="00DD0400" w:rsidRPr="007F6399" w:rsidRDefault="00DD0400" w:rsidP="00BA0494">
            <w:pPr>
              <w:pStyle w:val="TableParagraph"/>
              <w:ind w:left="96" w:right="95"/>
              <w:rPr>
                <w:rFonts w:ascii="Cambria" w:hAnsi="Cambria"/>
              </w:rPr>
            </w:pPr>
            <w:r w:rsidRPr="007F6399">
              <w:rPr>
                <w:rFonts w:ascii="Cambria" w:hAnsi="Cambria"/>
              </w:rPr>
              <w:t>0.843</w:t>
            </w:r>
          </w:p>
        </w:tc>
        <w:tc>
          <w:tcPr>
            <w:tcW w:w="900" w:type="dxa"/>
          </w:tcPr>
          <w:p w14:paraId="1CA08628" w14:textId="77777777" w:rsidR="00DD0400" w:rsidRPr="007F6399" w:rsidRDefault="00DD0400" w:rsidP="00BA0494">
            <w:pPr>
              <w:pStyle w:val="TableParagraph"/>
              <w:ind w:left="96" w:right="95"/>
              <w:rPr>
                <w:rFonts w:ascii="Cambria" w:hAnsi="Cambria"/>
              </w:rPr>
            </w:pPr>
            <w:r w:rsidRPr="007F6399">
              <w:rPr>
                <w:rFonts w:ascii="Cambria" w:hAnsi="Cambria"/>
              </w:rPr>
              <w:t>0.654</w:t>
            </w:r>
          </w:p>
        </w:tc>
        <w:tc>
          <w:tcPr>
            <w:tcW w:w="990" w:type="dxa"/>
          </w:tcPr>
          <w:p w14:paraId="55475CEF" w14:textId="77777777" w:rsidR="00DD0400" w:rsidRPr="007F6399" w:rsidRDefault="00DD0400" w:rsidP="00BA0494">
            <w:pPr>
              <w:pStyle w:val="TableParagraph"/>
              <w:ind w:left="95" w:right="94"/>
              <w:rPr>
                <w:rFonts w:ascii="Cambria" w:hAnsi="Cambria"/>
              </w:rPr>
            </w:pPr>
            <w:r w:rsidRPr="007F6399">
              <w:rPr>
                <w:rFonts w:ascii="Cambria" w:hAnsi="Cambria"/>
              </w:rPr>
              <w:t>1.650</w:t>
            </w:r>
          </w:p>
        </w:tc>
        <w:tc>
          <w:tcPr>
            <w:tcW w:w="921" w:type="dxa"/>
          </w:tcPr>
          <w:p w14:paraId="2DC523B4" w14:textId="77777777" w:rsidR="00DD0400" w:rsidRPr="007F6399" w:rsidRDefault="00DD0400" w:rsidP="00BA0494">
            <w:pPr>
              <w:pStyle w:val="TableParagraph"/>
              <w:ind w:left="95" w:right="94"/>
              <w:rPr>
                <w:rFonts w:ascii="Cambria" w:hAnsi="Cambria"/>
              </w:rPr>
            </w:pPr>
            <w:r w:rsidRPr="007F6399">
              <w:rPr>
                <w:rFonts w:ascii="Cambria" w:hAnsi="Cambria"/>
              </w:rPr>
              <w:t>2.082</w:t>
            </w:r>
          </w:p>
        </w:tc>
        <w:tc>
          <w:tcPr>
            <w:tcW w:w="839" w:type="dxa"/>
          </w:tcPr>
          <w:p w14:paraId="7EF772EC" w14:textId="77777777" w:rsidR="00DD0400" w:rsidRPr="007F6399" w:rsidRDefault="00DD0400" w:rsidP="00BA0494">
            <w:pPr>
              <w:pStyle w:val="TableParagraph"/>
              <w:ind w:left="95" w:right="94"/>
              <w:rPr>
                <w:rFonts w:ascii="Cambria" w:hAnsi="Cambria"/>
              </w:rPr>
            </w:pPr>
            <w:r w:rsidRPr="007F6399">
              <w:rPr>
                <w:rFonts w:ascii="Cambria" w:hAnsi="Cambria"/>
              </w:rPr>
              <w:t>2.568</w:t>
            </w:r>
          </w:p>
        </w:tc>
        <w:tc>
          <w:tcPr>
            <w:tcW w:w="239" w:type="dxa"/>
          </w:tcPr>
          <w:p w14:paraId="7600D353" w14:textId="77777777" w:rsidR="00DD0400" w:rsidRPr="007F6399" w:rsidRDefault="00DD0400" w:rsidP="00BA0494">
            <w:pPr>
              <w:pStyle w:val="TableParagraph"/>
              <w:spacing w:line="240" w:lineRule="auto"/>
              <w:ind w:left="0"/>
              <w:jc w:val="left"/>
              <w:rPr>
                <w:rFonts w:ascii="Cambria" w:hAnsi="Cambria"/>
              </w:rPr>
            </w:pPr>
          </w:p>
        </w:tc>
        <w:tc>
          <w:tcPr>
            <w:tcW w:w="757" w:type="dxa"/>
          </w:tcPr>
          <w:p w14:paraId="18B80048" w14:textId="77777777" w:rsidR="00DD0400" w:rsidRPr="007F6399" w:rsidRDefault="00DD0400" w:rsidP="00BA0494">
            <w:pPr>
              <w:pStyle w:val="TableParagraph"/>
              <w:ind w:left="99" w:right="122"/>
              <w:rPr>
                <w:rFonts w:ascii="Cambria" w:hAnsi="Cambria"/>
              </w:rPr>
            </w:pPr>
            <w:r w:rsidRPr="007F6399">
              <w:rPr>
                <w:rFonts w:ascii="Cambria" w:hAnsi="Cambria"/>
              </w:rPr>
              <w:t>1.972</w:t>
            </w:r>
          </w:p>
        </w:tc>
        <w:tc>
          <w:tcPr>
            <w:tcW w:w="784" w:type="dxa"/>
          </w:tcPr>
          <w:p w14:paraId="65EF77A3" w14:textId="77777777" w:rsidR="00DD0400" w:rsidRPr="007F6399" w:rsidRDefault="00DD0400" w:rsidP="00BA0494">
            <w:pPr>
              <w:pStyle w:val="TableParagraph"/>
              <w:ind w:left="125" w:right="123"/>
              <w:rPr>
                <w:rFonts w:ascii="Cambria" w:hAnsi="Cambria"/>
              </w:rPr>
            </w:pPr>
            <w:r w:rsidRPr="007F6399">
              <w:rPr>
                <w:rFonts w:ascii="Cambria" w:hAnsi="Cambria"/>
              </w:rPr>
              <w:t>1.153</w:t>
            </w:r>
          </w:p>
        </w:tc>
        <w:tc>
          <w:tcPr>
            <w:tcW w:w="866" w:type="dxa"/>
          </w:tcPr>
          <w:p w14:paraId="2ECD8BDF" w14:textId="77777777" w:rsidR="00DD0400" w:rsidRPr="007F6399" w:rsidRDefault="00DD0400" w:rsidP="00BA0494">
            <w:pPr>
              <w:pStyle w:val="TableParagraph"/>
              <w:ind w:left="100" w:right="69"/>
              <w:rPr>
                <w:rFonts w:ascii="Cambria" w:hAnsi="Cambria"/>
              </w:rPr>
            </w:pPr>
            <w:r w:rsidRPr="007F6399">
              <w:rPr>
                <w:rFonts w:ascii="Cambria" w:hAnsi="Cambria"/>
              </w:rPr>
              <w:t>0.746</w:t>
            </w:r>
          </w:p>
        </w:tc>
        <w:tc>
          <w:tcPr>
            <w:tcW w:w="866" w:type="dxa"/>
          </w:tcPr>
          <w:p w14:paraId="1E7BB3D2" w14:textId="77777777" w:rsidR="00DD0400" w:rsidRPr="007F6399" w:rsidRDefault="00DD0400" w:rsidP="00BA0494">
            <w:pPr>
              <w:pStyle w:val="TableParagraph"/>
              <w:ind w:left="75" w:right="95"/>
              <w:rPr>
                <w:rFonts w:ascii="Cambria" w:hAnsi="Cambria"/>
              </w:rPr>
            </w:pPr>
            <w:r w:rsidRPr="007F6399">
              <w:rPr>
                <w:rFonts w:ascii="Cambria" w:hAnsi="Cambria"/>
              </w:rPr>
              <w:t>1.371</w:t>
            </w:r>
          </w:p>
        </w:tc>
        <w:tc>
          <w:tcPr>
            <w:tcW w:w="811" w:type="dxa"/>
          </w:tcPr>
          <w:p w14:paraId="0AAE2F8C" w14:textId="77777777" w:rsidR="00DD0400" w:rsidRPr="007F6399" w:rsidRDefault="00DD0400" w:rsidP="00BA0494">
            <w:pPr>
              <w:pStyle w:val="TableParagraph"/>
              <w:ind w:left="103" w:right="122"/>
              <w:rPr>
                <w:rFonts w:ascii="Cambria" w:hAnsi="Cambria"/>
              </w:rPr>
            </w:pPr>
            <w:r w:rsidRPr="007F6399">
              <w:rPr>
                <w:rFonts w:ascii="Cambria" w:hAnsi="Cambria"/>
              </w:rPr>
              <w:t>5.219</w:t>
            </w:r>
          </w:p>
        </w:tc>
      </w:tr>
      <w:tr w:rsidR="00DD0400" w:rsidRPr="007F6399" w14:paraId="4F89968D" w14:textId="77777777" w:rsidTr="00FA12EE">
        <w:trPr>
          <w:trHeight w:val="270"/>
        </w:trPr>
        <w:tc>
          <w:tcPr>
            <w:tcW w:w="1620" w:type="dxa"/>
          </w:tcPr>
          <w:p w14:paraId="027D5378" w14:textId="77777777" w:rsidR="00DD0400" w:rsidRPr="007F6399" w:rsidRDefault="00DD0400" w:rsidP="00BA0494">
            <w:pPr>
              <w:pStyle w:val="TableParagraph"/>
              <w:ind w:left="119"/>
              <w:jc w:val="left"/>
              <w:rPr>
                <w:rFonts w:ascii="Cambria" w:hAnsi="Cambria"/>
              </w:rPr>
            </w:pPr>
            <w:r w:rsidRPr="007F6399">
              <w:rPr>
                <w:rFonts w:ascii="Cambria" w:hAnsi="Cambria"/>
              </w:rPr>
              <w:t xml:space="preserve">10 </w:t>
            </w:r>
            <w:proofErr w:type="spellStart"/>
            <w:r w:rsidRPr="007F6399">
              <w:rPr>
                <w:rFonts w:ascii="Cambria" w:hAnsi="Cambria"/>
              </w:rPr>
              <w:t>yr</w:t>
            </w:r>
            <w:proofErr w:type="spellEnd"/>
            <w:r w:rsidRPr="007F6399">
              <w:rPr>
                <w:rFonts w:ascii="Cambria" w:hAnsi="Cambria"/>
              </w:rPr>
              <w:t xml:space="preserve"> bond</w:t>
            </w:r>
          </w:p>
        </w:tc>
        <w:tc>
          <w:tcPr>
            <w:tcW w:w="810" w:type="dxa"/>
          </w:tcPr>
          <w:p w14:paraId="1CF7E0B6" w14:textId="77777777" w:rsidR="00DD0400" w:rsidRPr="007F6399" w:rsidRDefault="00DD0400" w:rsidP="00BA0494">
            <w:pPr>
              <w:pStyle w:val="TableParagraph"/>
              <w:ind w:left="96" w:right="95"/>
              <w:rPr>
                <w:rFonts w:ascii="Cambria" w:hAnsi="Cambria"/>
              </w:rPr>
            </w:pPr>
            <w:r w:rsidRPr="007F6399">
              <w:rPr>
                <w:rFonts w:ascii="Cambria" w:hAnsi="Cambria"/>
              </w:rPr>
              <w:t>2.572</w:t>
            </w:r>
          </w:p>
        </w:tc>
        <w:tc>
          <w:tcPr>
            <w:tcW w:w="900" w:type="dxa"/>
          </w:tcPr>
          <w:p w14:paraId="6C746FD9" w14:textId="77777777" w:rsidR="00DD0400" w:rsidRPr="007F6399" w:rsidRDefault="00DD0400" w:rsidP="00BA0494">
            <w:pPr>
              <w:pStyle w:val="TableParagraph"/>
              <w:ind w:left="96" w:right="95"/>
              <w:rPr>
                <w:rFonts w:ascii="Cambria" w:hAnsi="Cambria"/>
              </w:rPr>
            </w:pPr>
            <w:r w:rsidRPr="007F6399">
              <w:rPr>
                <w:rFonts w:ascii="Cambria" w:hAnsi="Cambria"/>
              </w:rPr>
              <w:t>0.447</w:t>
            </w:r>
          </w:p>
        </w:tc>
        <w:tc>
          <w:tcPr>
            <w:tcW w:w="990" w:type="dxa"/>
          </w:tcPr>
          <w:p w14:paraId="49F3BE7C" w14:textId="77777777" w:rsidR="00DD0400" w:rsidRPr="007F6399" w:rsidRDefault="00DD0400" w:rsidP="00BA0494">
            <w:pPr>
              <w:pStyle w:val="TableParagraph"/>
              <w:ind w:left="95" w:right="94"/>
              <w:rPr>
                <w:rFonts w:ascii="Cambria" w:hAnsi="Cambria"/>
              </w:rPr>
            </w:pPr>
            <w:r w:rsidRPr="007F6399">
              <w:rPr>
                <w:rFonts w:ascii="Cambria" w:hAnsi="Cambria"/>
              </w:rPr>
              <w:t>8.494</w:t>
            </w:r>
          </w:p>
        </w:tc>
        <w:tc>
          <w:tcPr>
            <w:tcW w:w="921" w:type="dxa"/>
          </w:tcPr>
          <w:p w14:paraId="26DF6F31" w14:textId="77777777" w:rsidR="00DD0400" w:rsidRPr="007F6399" w:rsidRDefault="00DD0400" w:rsidP="00BA0494">
            <w:pPr>
              <w:pStyle w:val="TableParagraph"/>
              <w:ind w:left="95" w:right="94"/>
              <w:rPr>
                <w:rFonts w:ascii="Cambria" w:hAnsi="Cambria"/>
              </w:rPr>
            </w:pPr>
            <w:r w:rsidRPr="007F6399">
              <w:rPr>
                <w:rFonts w:ascii="Cambria" w:hAnsi="Cambria"/>
              </w:rPr>
              <w:t>11.728</w:t>
            </w:r>
          </w:p>
        </w:tc>
        <w:tc>
          <w:tcPr>
            <w:tcW w:w="839" w:type="dxa"/>
          </w:tcPr>
          <w:p w14:paraId="64B983F7" w14:textId="77777777" w:rsidR="00DD0400" w:rsidRPr="007F6399" w:rsidRDefault="00DD0400" w:rsidP="00BA0494">
            <w:pPr>
              <w:pStyle w:val="TableParagraph"/>
              <w:ind w:left="95" w:right="94"/>
              <w:rPr>
                <w:rFonts w:ascii="Cambria" w:hAnsi="Cambria"/>
              </w:rPr>
            </w:pPr>
            <w:r w:rsidRPr="007F6399">
              <w:rPr>
                <w:rFonts w:ascii="Cambria" w:hAnsi="Cambria"/>
              </w:rPr>
              <w:t>7.327</w:t>
            </w:r>
          </w:p>
        </w:tc>
        <w:tc>
          <w:tcPr>
            <w:tcW w:w="239" w:type="dxa"/>
          </w:tcPr>
          <w:p w14:paraId="3C087A6A" w14:textId="77777777" w:rsidR="00DD0400" w:rsidRPr="007F6399" w:rsidRDefault="00DD0400" w:rsidP="00BA0494">
            <w:pPr>
              <w:pStyle w:val="TableParagraph"/>
              <w:spacing w:line="240" w:lineRule="auto"/>
              <w:ind w:left="0"/>
              <w:jc w:val="left"/>
              <w:rPr>
                <w:rFonts w:ascii="Cambria" w:hAnsi="Cambria"/>
              </w:rPr>
            </w:pPr>
          </w:p>
        </w:tc>
        <w:tc>
          <w:tcPr>
            <w:tcW w:w="757" w:type="dxa"/>
          </w:tcPr>
          <w:p w14:paraId="2C4D0CA0" w14:textId="77777777" w:rsidR="00DD0400" w:rsidRPr="007F6399" w:rsidRDefault="00DD0400" w:rsidP="00BA0494">
            <w:pPr>
              <w:pStyle w:val="TableParagraph"/>
              <w:ind w:left="99" w:right="122"/>
              <w:rPr>
                <w:rFonts w:ascii="Cambria" w:hAnsi="Cambria"/>
              </w:rPr>
            </w:pPr>
            <w:r w:rsidRPr="007F6399">
              <w:rPr>
                <w:rFonts w:ascii="Cambria" w:hAnsi="Cambria"/>
              </w:rPr>
              <w:t>0.078</w:t>
            </w:r>
          </w:p>
        </w:tc>
        <w:tc>
          <w:tcPr>
            <w:tcW w:w="784" w:type="dxa"/>
          </w:tcPr>
          <w:p w14:paraId="22EA20FB" w14:textId="77777777" w:rsidR="00DD0400" w:rsidRPr="007F6399" w:rsidRDefault="00DD0400" w:rsidP="00BA0494">
            <w:pPr>
              <w:pStyle w:val="TableParagraph"/>
              <w:ind w:left="125" w:right="123"/>
              <w:rPr>
                <w:rFonts w:ascii="Cambria" w:hAnsi="Cambria"/>
              </w:rPr>
            </w:pPr>
            <w:r w:rsidRPr="007F6399">
              <w:rPr>
                <w:rFonts w:ascii="Cambria" w:hAnsi="Cambria"/>
              </w:rPr>
              <w:t>4.169</w:t>
            </w:r>
          </w:p>
        </w:tc>
        <w:tc>
          <w:tcPr>
            <w:tcW w:w="866" w:type="dxa"/>
          </w:tcPr>
          <w:p w14:paraId="0B000245" w14:textId="77777777" w:rsidR="00DD0400" w:rsidRPr="007F6399" w:rsidRDefault="00DD0400" w:rsidP="00BA0494">
            <w:pPr>
              <w:pStyle w:val="TableParagraph"/>
              <w:ind w:left="100" w:right="69"/>
              <w:rPr>
                <w:rFonts w:ascii="Cambria" w:hAnsi="Cambria"/>
              </w:rPr>
            </w:pPr>
            <w:r w:rsidRPr="007F6399">
              <w:rPr>
                <w:rFonts w:ascii="Cambria" w:hAnsi="Cambria"/>
              </w:rPr>
              <w:t>5.085</w:t>
            </w:r>
          </w:p>
        </w:tc>
        <w:tc>
          <w:tcPr>
            <w:tcW w:w="866" w:type="dxa"/>
          </w:tcPr>
          <w:p w14:paraId="1A63D6AD" w14:textId="77777777" w:rsidR="00DD0400" w:rsidRPr="007F6399" w:rsidRDefault="00DD0400" w:rsidP="00BA0494">
            <w:pPr>
              <w:pStyle w:val="TableParagraph"/>
              <w:ind w:left="75" w:right="95"/>
              <w:rPr>
                <w:rFonts w:ascii="Cambria" w:hAnsi="Cambria"/>
              </w:rPr>
            </w:pPr>
            <w:r w:rsidRPr="007F6399">
              <w:rPr>
                <w:rFonts w:ascii="Cambria" w:hAnsi="Cambria"/>
              </w:rPr>
              <w:t>3.190</w:t>
            </w:r>
          </w:p>
        </w:tc>
        <w:tc>
          <w:tcPr>
            <w:tcW w:w="811" w:type="dxa"/>
          </w:tcPr>
          <w:p w14:paraId="032F7AE0" w14:textId="77777777" w:rsidR="00DD0400" w:rsidRPr="007F6399" w:rsidRDefault="00DD0400" w:rsidP="00BA0494">
            <w:pPr>
              <w:pStyle w:val="TableParagraph"/>
              <w:ind w:left="103" w:right="122"/>
              <w:rPr>
                <w:rFonts w:ascii="Cambria" w:hAnsi="Cambria"/>
              </w:rPr>
            </w:pPr>
            <w:r w:rsidRPr="007F6399">
              <w:rPr>
                <w:rFonts w:ascii="Cambria" w:hAnsi="Cambria"/>
              </w:rPr>
              <w:t>2.516</w:t>
            </w:r>
          </w:p>
        </w:tc>
      </w:tr>
      <w:tr w:rsidR="00DD0400" w:rsidRPr="007F6399" w14:paraId="5349D974" w14:textId="77777777" w:rsidTr="00FA12EE">
        <w:trPr>
          <w:trHeight w:val="270"/>
        </w:trPr>
        <w:tc>
          <w:tcPr>
            <w:tcW w:w="1620" w:type="dxa"/>
          </w:tcPr>
          <w:p w14:paraId="6C617B62" w14:textId="77777777" w:rsidR="00DD0400" w:rsidRPr="007F6399" w:rsidRDefault="00DD0400" w:rsidP="00BA0494">
            <w:pPr>
              <w:pStyle w:val="TableParagraph"/>
              <w:ind w:left="119"/>
              <w:jc w:val="left"/>
              <w:rPr>
                <w:rFonts w:ascii="Cambria" w:hAnsi="Cambria"/>
              </w:rPr>
            </w:pPr>
            <w:r w:rsidRPr="007F6399">
              <w:rPr>
                <w:rFonts w:ascii="Cambria" w:hAnsi="Cambria"/>
              </w:rPr>
              <w:t>Dollar Reserves</w:t>
            </w:r>
          </w:p>
        </w:tc>
        <w:tc>
          <w:tcPr>
            <w:tcW w:w="810" w:type="dxa"/>
          </w:tcPr>
          <w:p w14:paraId="72C75F7A" w14:textId="77777777" w:rsidR="00DD0400" w:rsidRPr="007F6399" w:rsidRDefault="00DD0400" w:rsidP="00BA0494">
            <w:pPr>
              <w:pStyle w:val="TableParagraph"/>
              <w:ind w:left="96" w:right="95"/>
              <w:rPr>
                <w:rFonts w:ascii="Cambria" w:hAnsi="Cambria"/>
              </w:rPr>
            </w:pPr>
            <w:r w:rsidRPr="007F6399">
              <w:rPr>
                <w:rFonts w:ascii="Cambria" w:hAnsi="Cambria"/>
              </w:rPr>
              <w:t>2.013</w:t>
            </w:r>
          </w:p>
        </w:tc>
        <w:tc>
          <w:tcPr>
            <w:tcW w:w="900" w:type="dxa"/>
          </w:tcPr>
          <w:p w14:paraId="65A6B558" w14:textId="77777777" w:rsidR="00DD0400" w:rsidRPr="007F6399" w:rsidRDefault="00DD0400" w:rsidP="00BA0494">
            <w:pPr>
              <w:pStyle w:val="TableParagraph"/>
              <w:ind w:left="96" w:right="95"/>
              <w:rPr>
                <w:rFonts w:ascii="Cambria" w:hAnsi="Cambria"/>
              </w:rPr>
            </w:pPr>
            <w:r w:rsidRPr="007F6399">
              <w:rPr>
                <w:rFonts w:ascii="Cambria" w:hAnsi="Cambria"/>
              </w:rPr>
              <w:t>0.670</w:t>
            </w:r>
          </w:p>
        </w:tc>
        <w:tc>
          <w:tcPr>
            <w:tcW w:w="990" w:type="dxa"/>
          </w:tcPr>
          <w:p w14:paraId="4787CBB5" w14:textId="77777777" w:rsidR="00DD0400" w:rsidRPr="007F6399" w:rsidRDefault="00DD0400" w:rsidP="00BA0494">
            <w:pPr>
              <w:pStyle w:val="TableParagraph"/>
              <w:ind w:left="95" w:right="94"/>
              <w:rPr>
                <w:rFonts w:ascii="Cambria" w:hAnsi="Cambria"/>
              </w:rPr>
            </w:pPr>
            <w:r w:rsidRPr="007F6399">
              <w:rPr>
                <w:rFonts w:ascii="Cambria" w:hAnsi="Cambria"/>
              </w:rPr>
              <w:t>8.938</w:t>
            </w:r>
          </w:p>
        </w:tc>
        <w:tc>
          <w:tcPr>
            <w:tcW w:w="921" w:type="dxa"/>
          </w:tcPr>
          <w:p w14:paraId="3F9EB752" w14:textId="77777777" w:rsidR="00DD0400" w:rsidRPr="007F6399" w:rsidRDefault="00DD0400" w:rsidP="00BA0494">
            <w:pPr>
              <w:pStyle w:val="TableParagraph"/>
              <w:ind w:left="95" w:right="94"/>
              <w:rPr>
                <w:rFonts w:ascii="Cambria" w:hAnsi="Cambria"/>
              </w:rPr>
            </w:pPr>
            <w:r w:rsidRPr="007F6399">
              <w:rPr>
                <w:rFonts w:ascii="Cambria" w:hAnsi="Cambria"/>
              </w:rPr>
              <w:t>6.387</w:t>
            </w:r>
          </w:p>
        </w:tc>
        <w:tc>
          <w:tcPr>
            <w:tcW w:w="839" w:type="dxa"/>
          </w:tcPr>
          <w:p w14:paraId="46EB9317" w14:textId="77777777" w:rsidR="00DD0400" w:rsidRPr="007F6399" w:rsidRDefault="00DD0400" w:rsidP="00BA0494">
            <w:pPr>
              <w:pStyle w:val="TableParagraph"/>
              <w:ind w:left="95" w:right="94"/>
              <w:rPr>
                <w:rFonts w:ascii="Cambria" w:hAnsi="Cambria"/>
              </w:rPr>
            </w:pPr>
            <w:r w:rsidRPr="007F6399">
              <w:rPr>
                <w:rFonts w:ascii="Cambria" w:hAnsi="Cambria"/>
              </w:rPr>
              <w:t>4.113</w:t>
            </w:r>
          </w:p>
        </w:tc>
        <w:tc>
          <w:tcPr>
            <w:tcW w:w="239" w:type="dxa"/>
          </w:tcPr>
          <w:p w14:paraId="5676AC13" w14:textId="77777777" w:rsidR="00DD0400" w:rsidRPr="007F6399" w:rsidRDefault="00DD0400" w:rsidP="00BA0494">
            <w:pPr>
              <w:pStyle w:val="TableParagraph"/>
              <w:spacing w:line="240" w:lineRule="auto"/>
              <w:ind w:left="0"/>
              <w:jc w:val="left"/>
              <w:rPr>
                <w:rFonts w:ascii="Cambria" w:hAnsi="Cambria"/>
              </w:rPr>
            </w:pPr>
          </w:p>
        </w:tc>
        <w:tc>
          <w:tcPr>
            <w:tcW w:w="757" w:type="dxa"/>
          </w:tcPr>
          <w:p w14:paraId="21B44320" w14:textId="77777777" w:rsidR="00DD0400" w:rsidRPr="007F6399" w:rsidRDefault="00DD0400" w:rsidP="00BA0494">
            <w:pPr>
              <w:pStyle w:val="TableParagraph"/>
              <w:ind w:left="99" w:right="122"/>
              <w:rPr>
                <w:rFonts w:ascii="Cambria" w:hAnsi="Cambria"/>
              </w:rPr>
            </w:pPr>
            <w:r w:rsidRPr="007F6399">
              <w:rPr>
                <w:rFonts w:ascii="Cambria" w:hAnsi="Cambria"/>
              </w:rPr>
              <w:t>0.011</w:t>
            </w:r>
          </w:p>
        </w:tc>
        <w:tc>
          <w:tcPr>
            <w:tcW w:w="784" w:type="dxa"/>
          </w:tcPr>
          <w:p w14:paraId="1B7FDD85" w14:textId="77777777" w:rsidR="00DD0400" w:rsidRPr="007F6399" w:rsidRDefault="00DD0400" w:rsidP="00BA0494">
            <w:pPr>
              <w:pStyle w:val="TableParagraph"/>
              <w:ind w:left="125" w:right="123"/>
              <w:rPr>
                <w:rFonts w:ascii="Cambria" w:hAnsi="Cambria"/>
              </w:rPr>
            </w:pPr>
            <w:r w:rsidRPr="007F6399">
              <w:rPr>
                <w:rFonts w:ascii="Cambria" w:hAnsi="Cambria"/>
              </w:rPr>
              <w:t>3.938</w:t>
            </w:r>
          </w:p>
        </w:tc>
        <w:tc>
          <w:tcPr>
            <w:tcW w:w="866" w:type="dxa"/>
          </w:tcPr>
          <w:p w14:paraId="13620851" w14:textId="77777777" w:rsidR="00DD0400" w:rsidRPr="007F6399" w:rsidRDefault="00DD0400" w:rsidP="00BA0494">
            <w:pPr>
              <w:pStyle w:val="TableParagraph"/>
              <w:ind w:left="100" w:right="69"/>
              <w:rPr>
                <w:rFonts w:ascii="Cambria" w:hAnsi="Cambria"/>
              </w:rPr>
            </w:pPr>
            <w:r w:rsidRPr="007F6399">
              <w:rPr>
                <w:rFonts w:ascii="Cambria" w:hAnsi="Cambria"/>
              </w:rPr>
              <w:t>10.007</w:t>
            </w:r>
          </w:p>
        </w:tc>
        <w:tc>
          <w:tcPr>
            <w:tcW w:w="866" w:type="dxa"/>
          </w:tcPr>
          <w:p w14:paraId="32E5CC77" w14:textId="77777777" w:rsidR="00DD0400" w:rsidRPr="007F6399" w:rsidRDefault="00DD0400" w:rsidP="00BA0494">
            <w:pPr>
              <w:pStyle w:val="TableParagraph"/>
              <w:ind w:left="75" w:right="95"/>
              <w:rPr>
                <w:rFonts w:ascii="Cambria" w:hAnsi="Cambria"/>
              </w:rPr>
            </w:pPr>
            <w:r w:rsidRPr="007F6399">
              <w:rPr>
                <w:rFonts w:ascii="Cambria" w:hAnsi="Cambria"/>
              </w:rPr>
              <w:t>13.408</w:t>
            </w:r>
          </w:p>
        </w:tc>
        <w:tc>
          <w:tcPr>
            <w:tcW w:w="811" w:type="dxa"/>
          </w:tcPr>
          <w:p w14:paraId="34E1BE2F" w14:textId="77777777" w:rsidR="00DD0400" w:rsidRPr="007F6399" w:rsidRDefault="00DD0400" w:rsidP="00BA0494">
            <w:pPr>
              <w:pStyle w:val="TableParagraph"/>
              <w:ind w:left="103" w:right="122"/>
              <w:rPr>
                <w:rFonts w:ascii="Cambria" w:hAnsi="Cambria"/>
              </w:rPr>
            </w:pPr>
            <w:r w:rsidRPr="007F6399">
              <w:rPr>
                <w:rFonts w:ascii="Cambria" w:hAnsi="Cambria"/>
              </w:rPr>
              <w:t>7.207</w:t>
            </w:r>
          </w:p>
        </w:tc>
      </w:tr>
      <w:tr w:rsidR="00DD0400" w:rsidRPr="007F6399" w14:paraId="4B425491" w14:textId="77777777" w:rsidTr="00FA12EE">
        <w:trPr>
          <w:trHeight w:val="270"/>
        </w:trPr>
        <w:tc>
          <w:tcPr>
            <w:tcW w:w="1620" w:type="dxa"/>
          </w:tcPr>
          <w:p w14:paraId="532822D0" w14:textId="77777777" w:rsidR="00DD0400" w:rsidRPr="007F6399" w:rsidRDefault="00DD0400" w:rsidP="00BA0494">
            <w:pPr>
              <w:pStyle w:val="TableParagraph"/>
              <w:ind w:left="119"/>
              <w:jc w:val="left"/>
              <w:rPr>
                <w:rFonts w:ascii="Cambria" w:hAnsi="Cambria"/>
              </w:rPr>
            </w:pPr>
            <w:r w:rsidRPr="007F6399">
              <w:rPr>
                <w:rFonts w:ascii="Cambria" w:hAnsi="Cambria"/>
              </w:rPr>
              <w:t>Inflation</w:t>
            </w:r>
          </w:p>
        </w:tc>
        <w:tc>
          <w:tcPr>
            <w:tcW w:w="810" w:type="dxa"/>
          </w:tcPr>
          <w:p w14:paraId="45CC6013" w14:textId="77777777" w:rsidR="00DD0400" w:rsidRPr="007F6399" w:rsidRDefault="00DD0400" w:rsidP="00BA0494">
            <w:pPr>
              <w:pStyle w:val="TableParagraph"/>
              <w:ind w:left="96" w:right="95"/>
              <w:rPr>
                <w:rFonts w:ascii="Cambria" w:hAnsi="Cambria"/>
              </w:rPr>
            </w:pPr>
            <w:r w:rsidRPr="007F6399">
              <w:rPr>
                <w:rFonts w:ascii="Cambria" w:hAnsi="Cambria"/>
              </w:rPr>
              <w:t>1.835</w:t>
            </w:r>
          </w:p>
        </w:tc>
        <w:tc>
          <w:tcPr>
            <w:tcW w:w="900" w:type="dxa"/>
          </w:tcPr>
          <w:p w14:paraId="4C8EA2ED" w14:textId="77777777" w:rsidR="00DD0400" w:rsidRPr="007F6399" w:rsidRDefault="00DD0400" w:rsidP="00BA0494">
            <w:pPr>
              <w:pStyle w:val="TableParagraph"/>
              <w:ind w:left="96" w:right="95"/>
              <w:rPr>
                <w:rFonts w:ascii="Cambria" w:hAnsi="Cambria"/>
              </w:rPr>
            </w:pPr>
            <w:r w:rsidRPr="007F6399">
              <w:rPr>
                <w:rFonts w:ascii="Cambria" w:hAnsi="Cambria"/>
              </w:rPr>
              <w:t>0.724</w:t>
            </w:r>
          </w:p>
        </w:tc>
        <w:tc>
          <w:tcPr>
            <w:tcW w:w="990" w:type="dxa"/>
          </w:tcPr>
          <w:p w14:paraId="170D38C4" w14:textId="77777777" w:rsidR="00DD0400" w:rsidRPr="007F6399" w:rsidRDefault="00DD0400" w:rsidP="00BA0494">
            <w:pPr>
              <w:pStyle w:val="TableParagraph"/>
              <w:ind w:left="95" w:right="94"/>
              <w:rPr>
                <w:rFonts w:ascii="Cambria" w:hAnsi="Cambria"/>
              </w:rPr>
            </w:pPr>
            <w:r w:rsidRPr="007F6399">
              <w:rPr>
                <w:rFonts w:ascii="Cambria" w:hAnsi="Cambria"/>
              </w:rPr>
              <w:t>3.160</w:t>
            </w:r>
          </w:p>
        </w:tc>
        <w:tc>
          <w:tcPr>
            <w:tcW w:w="921" w:type="dxa"/>
          </w:tcPr>
          <w:p w14:paraId="7147626F" w14:textId="77777777" w:rsidR="00DD0400" w:rsidRPr="007F6399" w:rsidRDefault="00DD0400" w:rsidP="00BA0494">
            <w:pPr>
              <w:pStyle w:val="TableParagraph"/>
              <w:ind w:left="95" w:right="94"/>
              <w:rPr>
                <w:rFonts w:ascii="Cambria" w:hAnsi="Cambria"/>
              </w:rPr>
            </w:pPr>
            <w:r w:rsidRPr="007F6399">
              <w:rPr>
                <w:rFonts w:ascii="Cambria" w:hAnsi="Cambria"/>
              </w:rPr>
              <w:t>3.680</w:t>
            </w:r>
          </w:p>
        </w:tc>
        <w:tc>
          <w:tcPr>
            <w:tcW w:w="839" w:type="dxa"/>
          </w:tcPr>
          <w:p w14:paraId="5A98351B" w14:textId="77777777" w:rsidR="00DD0400" w:rsidRPr="007F6399" w:rsidRDefault="00DD0400" w:rsidP="00BA0494">
            <w:pPr>
              <w:pStyle w:val="TableParagraph"/>
              <w:ind w:left="95" w:right="94"/>
              <w:rPr>
                <w:rFonts w:ascii="Cambria" w:hAnsi="Cambria"/>
              </w:rPr>
            </w:pPr>
            <w:r w:rsidRPr="007F6399">
              <w:rPr>
                <w:rFonts w:ascii="Cambria" w:hAnsi="Cambria"/>
              </w:rPr>
              <w:t>5.066</w:t>
            </w:r>
          </w:p>
        </w:tc>
        <w:tc>
          <w:tcPr>
            <w:tcW w:w="239" w:type="dxa"/>
          </w:tcPr>
          <w:p w14:paraId="1C3A4585" w14:textId="77777777" w:rsidR="00DD0400" w:rsidRPr="007F6399" w:rsidRDefault="00DD0400" w:rsidP="00BA0494">
            <w:pPr>
              <w:pStyle w:val="TableParagraph"/>
              <w:spacing w:line="240" w:lineRule="auto"/>
              <w:ind w:left="0"/>
              <w:jc w:val="left"/>
              <w:rPr>
                <w:rFonts w:ascii="Cambria" w:hAnsi="Cambria"/>
              </w:rPr>
            </w:pPr>
          </w:p>
        </w:tc>
        <w:tc>
          <w:tcPr>
            <w:tcW w:w="757" w:type="dxa"/>
          </w:tcPr>
          <w:p w14:paraId="0289CAB3" w14:textId="77777777" w:rsidR="00DD0400" w:rsidRPr="007F6399" w:rsidRDefault="00DD0400" w:rsidP="00BA0494">
            <w:pPr>
              <w:pStyle w:val="TableParagraph"/>
              <w:ind w:left="99" w:right="122"/>
              <w:rPr>
                <w:rFonts w:ascii="Cambria" w:hAnsi="Cambria"/>
              </w:rPr>
            </w:pPr>
            <w:r w:rsidRPr="007F6399">
              <w:rPr>
                <w:rFonts w:ascii="Cambria" w:hAnsi="Cambria"/>
              </w:rPr>
              <w:t>0.000</w:t>
            </w:r>
          </w:p>
        </w:tc>
        <w:tc>
          <w:tcPr>
            <w:tcW w:w="784" w:type="dxa"/>
          </w:tcPr>
          <w:p w14:paraId="7B31DE29" w14:textId="77777777" w:rsidR="00DD0400" w:rsidRPr="007F6399" w:rsidRDefault="00DD0400" w:rsidP="00BA0494">
            <w:pPr>
              <w:pStyle w:val="TableParagraph"/>
              <w:ind w:left="125" w:right="123"/>
              <w:rPr>
                <w:rFonts w:ascii="Cambria" w:hAnsi="Cambria"/>
              </w:rPr>
            </w:pPr>
            <w:r w:rsidRPr="007F6399">
              <w:rPr>
                <w:rFonts w:ascii="Cambria" w:hAnsi="Cambria"/>
              </w:rPr>
              <w:t>1.557</w:t>
            </w:r>
          </w:p>
        </w:tc>
        <w:tc>
          <w:tcPr>
            <w:tcW w:w="866" w:type="dxa"/>
          </w:tcPr>
          <w:p w14:paraId="4324C062" w14:textId="77777777" w:rsidR="00DD0400" w:rsidRPr="007F6399" w:rsidRDefault="00DD0400" w:rsidP="00BA0494">
            <w:pPr>
              <w:pStyle w:val="TableParagraph"/>
              <w:ind w:left="100" w:right="69"/>
              <w:rPr>
                <w:rFonts w:ascii="Cambria" w:hAnsi="Cambria"/>
              </w:rPr>
            </w:pPr>
            <w:r w:rsidRPr="007F6399">
              <w:rPr>
                <w:rFonts w:ascii="Cambria" w:hAnsi="Cambria"/>
              </w:rPr>
              <w:t>1.804</w:t>
            </w:r>
          </w:p>
        </w:tc>
        <w:tc>
          <w:tcPr>
            <w:tcW w:w="866" w:type="dxa"/>
          </w:tcPr>
          <w:p w14:paraId="73F55953" w14:textId="77777777" w:rsidR="00DD0400" w:rsidRPr="007F6399" w:rsidRDefault="00DD0400" w:rsidP="00BA0494">
            <w:pPr>
              <w:pStyle w:val="TableParagraph"/>
              <w:ind w:left="75" w:right="95"/>
              <w:rPr>
                <w:rFonts w:ascii="Cambria" w:hAnsi="Cambria"/>
              </w:rPr>
            </w:pPr>
            <w:r w:rsidRPr="007F6399">
              <w:rPr>
                <w:rFonts w:ascii="Cambria" w:hAnsi="Cambria"/>
              </w:rPr>
              <w:t>1.597</w:t>
            </w:r>
          </w:p>
        </w:tc>
        <w:tc>
          <w:tcPr>
            <w:tcW w:w="811" w:type="dxa"/>
          </w:tcPr>
          <w:p w14:paraId="2670AA4F" w14:textId="77777777" w:rsidR="00DD0400" w:rsidRPr="007F6399" w:rsidRDefault="00DD0400" w:rsidP="00BA0494">
            <w:pPr>
              <w:pStyle w:val="TableParagraph"/>
              <w:ind w:left="103" w:right="122"/>
              <w:rPr>
                <w:rFonts w:ascii="Cambria" w:hAnsi="Cambria"/>
              </w:rPr>
            </w:pPr>
            <w:r w:rsidRPr="007F6399">
              <w:rPr>
                <w:rFonts w:ascii="Cambria" w:hAnsi="Cambria"/>
              </w:rPr>
              <w:t>1.046</w:t>
            </w:r>
          </w:p>
        </w:tc>
      </w:tr>
      <w:tr w:rsidR="00DD0400" w:rsidRPr="007F6399" w14:paraId="57FD0FAE" w14:textId="77777777" w:rsidTr="00FA12EE">
        <w:trPr>
          <w:trHeight w:val="326"/>
        </w:trPr>
        <w:tc>
          <w:tcPr>
            <w:tcW w:w="1620" w:type="dxa"/>
            <w:tcBorders>
              <w:bottom w:val="single" w:sz="6" w:space="0" w:color="000000"/>
            </w:tcBorders>
          </w:tcPr>
          <w:p w14:paraId="4AB31D89" w14:textId="77777777" w:rsidR="00DD0400" w:rsidRPr="007F6399" w:rsidRDefault="00DD0400" w:rsidP="00BA0494">
            <w:pPr>
              <w:pStyle w:val="TableParagraph"/>
              <w:spacing w:line="240" w:lineRule="auto"/>
              <w:ind w:left="119"/>
              <w:jc w:val="left"/>
              <w:rPr>
                <w:rFonts w:ascii="Cambria" w:hAnsi="Cambria"/>
              </w:rPr>
            </w:pPr>
            <w:r w:rsidRPr="007F6399">
              <w:rPr>
                <w:rFonts w:ascii="Cambria" w:hAnsi="Cambria"/>
              </w:rPr>
              <w:t>Ind. Prod.</w:t>
            </w:r>
          </w:p>
        </w:tc>
        <w:tc>
          <w:tcPr>
            <w:tcW w:w="810" w:type="dxa"/>
            <w:tcBorders>
              <w:bottom w:val="single" w:sz="6" w:space="0" w:color="000000"/>
            </w:tcBorders>
          </w:tcPr>
          <w:p w14:paraId="5480E8F6" w14:textId="77777777" w:rsidR="00DD0400" w:rsidRPr="007F6399" w:rsidRDefault="00DD0400" w:rsidP="00BA0494">
            <w:pPr>
              <w:pStyle w:val="TableParagraph"/>
              <w:spacing w:line="240" w:lineRule="auto"/>
              <w:ind w:left="96" w:right="95"/>
              <w:rPr>
                <w:rFonts w:ascii="Cambria" w:hAnsi="Cambria"/>
              </w:rPr>
            </w:pPr>
            <w:r w:rsidRPr="007F6399">
              <w:rPr>
                <w:rFonts w:ascii="Cambria" w:hAnsi="Cambria"/>
              </w:rPr>
              <w:t>1.738</w:t>
            </w:r>
          </w:p>
        </w:tc>
        <w:tc>
          <w:tcPr>
            <w:tcW w:w="900" w:type="dxa"/>
            <w:tcBorders>
              <w:bottom w:val="single" w:sz="6" w:space="0" w:color="000000"/>
            </w:tcBorders>
          </w:tcPr>
          <w:p w14:paraId="7075F730" w14:textId="77777777" w:rsidR="00DD0400" w:rsidRPr="007F6399" w:rsidRDefault="00DD0400" w:rsidP="00BA0494">
            <w:pPr>
              <w:pStyle w:val="TableParagraph"/>
              <w:spacing w:line="240" w:lineRule="auto"/>
              <w:ind w:left="96" w:right="95"/>
              <w:rPr>
                <w:rFonts w:ascii="Cambria" w:hAnsi="Cambria"/>
              </w:rPr>
            </w:pPr>
            <w:r w:rsidRPr="007F6399">
              <w:rPr>
                <w:rFonts w:ascii="Cambria" w:hAnsi="Cambria"/>
              </w:rPr>
              <w:t>0.027</w:t>
            </w:r>
          </w:p>
        </w:tc>
        <w:tc>
          <w:tcPr>
            <w:tcW w:w="990" w:type="dxa"/>
            <w:tcBorders>
              <w:bottom w:val="single" w:sz="6" w:space="0" w:color="000000"/>
            </w:tcBorders>
          </w:tcPr>
          <w:p w14:paraId="7898D3C3" w14:textId="77777777" w:rsidR="00DD0400" w:rsidRPr="007F6399" w:rsidRDefault="00DD0400" w:rsidP="00BA0494">
            <w:pPr>
              <w:pStyle w:val="TableParagraph"/>
              <w:spacing w:line="240" w:lineRule="auto"/>
              <w:ind w:left="95" w:right="94"/>
              <w:rPr>
                <w:rFonts w:ascii="Cambria" w:hAnsi="Cambria"/>
              </w:rPr>
            </w:pPr>
            <w:r w:rsidRPr="007F6399">
              <w:rPr>
                <w:rFonts w:ascii="Cambria" w:hAnsi="Cambria"/>
              </w:rPr>
              <w:t>13.506</w:t>
            </w:r>
          </w:p>
        </w:tc>
        <w:tc>
          <w:tcPr>
            <w:tcW w:w="921" w:type="dxa"/>
            <w:tcBorders>
              <w:bottom w:val="single" w:sz="6" w:space="0" w:color="000000"/>
            </w:tcBorders>
          </w:tcPr>
          <w:p w14:paraId="1A00CC44" w14:textId="77777777" w:rsidR="00DD0400" w:rsidRPr="007F6399" w:rsidRDefault="00DD0400" w:rsidP="00BA0494">
            <w:pPr>
              <w:pStyle w:val="TableParagraph"/>
              <w:spacing w:line="240" w:lineRule="auto"/>
              <w:ind w:left="95" w:right="94"/>
              <w:rPr>
                <w:rFonts w:ascii="Cambria" w:hAnsi="Cambria"/>
              </w:rPr>
            </w:pPr>
            <w:r w:rsidRPr="007F6399">
              <w:rPr>
                <w:rFonts w:ascii="Cambria" w:hAnsi="Cambria"/>
              </w:rPr>
              <w:t>13.817</w:t>
            </w:r>
          </w:p>
        </w:tc>
        <w:tc>
          <w:tcPr>
            <w:tcW w:w="839" w:type="dxa"/>
            <w:tcBorders>
              <w:bottom w:val="single" w:sz="6" w:space="0" w:color="000000"/>
            </w:tcBorders>
          </w:tcPr>
          <w:p w14:paraId="2BA8F9E3" w14:textId="77777777" w:rsidR="00DD0400" w:rsidRPr="007F6399" w:rsidRDefault="00DD0400" w:rsidP="00BA0494">
            <w:pPr>
              <w:pStyle w:val="TableParagraph"/>
              <w:spacing w:line="240" w:lineRule="auto"/>
              <w:ind w:left="95" w:right="94"/>
              <w:rPr>
                <w:rFonts w:ascii="Cambria" w:hAnsi="Cambria"/>
              </w:rPr>
            </w:pPr>
            <w:r w:rsidRPr="007F6399">
              <w:rPr>
                <w:rFonts w:ascii="Cambria" w:hAnsi="Cambria"/>
              </w:rPr>
              <w:t>12.286</w:t>
            </w:r>
          </w:p>
        </w:tc>
        <w:tc>
          <w:tcPr>
            <w:tcW w:w="239" w:type="dxa"/>
            <w:tcBorders>
              <w:bottom w:val="single" w:sz="6" w:space="0" w:color="000000"/>
            </w:tcBorders>
          </w:tcPr>
          <w:p w14:paraId="0C874140" w14:textId="77777777" w:rsidR="00DD0400" w:rsidRPr="007F6399" w:rsidRDefault="00DD0400" w:rsidP="00BA0494">
            <w:pPr>
              <w:pStyle w:val="TableParagraph"/>
              <w:spacing w:line="240" w:lineRule="auto"/>
              <w:ind w:left="0"/>
              <w:jc w:val="left"/>
              <w:rPr>
                <w:rFonts w:ascii="Cambria" w:hAnsi="Cambria"/>
              </w:rPr>
            </w:pPr>
          </w:p>
        </w:tc>
        <w:tc>
          <w:tcPr>
            <w:tcW w:w="757" w:type="dxa"/>
            <w:tcBorders>
              <w:bottom w:val="single" w:sz="6" w:space="0" w:color="000000"/>
            </w:tcBorders>
          </w:tcPr>
          <w:p w14:paraId="3BDEE82D" w14:textId="77777777" w:rsidR="00DD0400" w:rsidRPr="007F6399" w:rsidRDefault="00DD0400" w:rsidP="00BA0494">
            <w:pPr>
              <w:pStyle w:val="TableParagraph"/>
              <w:spacing w:line="240" w:lineRule="auto"/>
              <w:ind w:left="99" w:right="122"/>
              <w:rPr>
                <w:rFonts w:ascii="Cambria" w:hAnsi="Cambria"/>
              </w:rPr>
            </w:pPr>
            <w:r w:rsidRPr="007F6399">
              <w:rPr>
                <w:rFonts w:ascii="Cambria" w:hAnsi="Cambria"/>
              </w:rPr>
              <w:t>0.080</w:t>
            </w:r>
          </w:p>
        </w:tc>
        <w:tc>
          <w:tcPr>
            <w:tcW w:w="784" w:type="dxa"/>
            <w:tcBorders>
              <w:bottom w:val="single" w:sz="6" w:space="0" w:color="000000"/>
            </w:tcBorders>
          </w:tcPr>
          <w:p w14:paraId="717DDB77" w14:textId="77777777" w:rsidR="00DD0400" w:rsidRPr="007F6399" w:rsidRDefault="00DD0400" w:rsidP="00BA0494">
            <w:pPr>
              <w:pStyle w:val="TableParagraph"/>
              <w:spacing w:line="240" w:lineRule="auto"/>
              <w:ind w:left="125" w:right="123"/>
              <w:rPr>
                <w:rFonts w:ascii="Cambria" w:hAnsi="Cambria"/>
              </w:rPr>
            </w:pPr>
            <w:r w:rsidRPr="007F6399">
              <w:rPr>
                <w:rFonts w:ascii="Cambria" w:hAnsi="Cambria"/>
              </w:rPr>
              <w:t>3.239</w:t>
            </w:r>
          </w:p>
        </w:tc>
        <w:tc>
          <w:tcPr>
            <w:tcW w:w="866" w:type="dxa"/>
            <w:tcBorders>
              <w:bottom w:val="single" w:sz="6" w:space="0" w:color="000000"/>
            </w:tcBorders>
          </w:tcPr>
          <w:p w14:paraId="04594B43" w14:textId="77777777" w:rsidR="00DD0400" w:rsidRPr="007F6399" w:rsidRDefault="00DD0400" w:rsidP="00BA0494">
            <w:pPr>
              <w:pStyle w:val="TableParagraph"/>
              <w:spacing w:line="240" w:lineRule="auto"/>
              <w:ind w:left="100" w:right="69"/>
              <w:rPr>
                <w:rFonts w:ascii="Cambria" w:hAnsi="Cambria"/>
              </w:rPr>
            </w:pPr>
            <w:r w:rsidRPr="007F6399">
              <w:rPr>
                <w:rFonts w:ascii="Cambria" w:hAnsi="Cambria"/>
              </w:rPr>
              <w:t>4.441</w:t>
            </w:r>
          </w:p>
        </w:tc>
        <w:tc>
          <w:tcPr>
            <w:tcW w:w="866" w:type="dxa"/>
            <w:tcBorders>
              <w:bottom w:val="single" w:sz="6" w:space="0" w:color="000000"/>
            </w:tcBorders>
          </w:tcPr>
          <w:p w14:paraId="70A8F386" w14:textId="77777777" w:rsidR="00DD0400" w:rsidRPr="007F6399" w:rsidRDefault="00DD0400" w:rsidP="00BA0494">
            <w:pPr>
              <w:pStyle w:val="TableParagraph"/>
              <w:spacing w:line="240" w:lineRule="auto"/>
              <w:ind w:left="75" w:right="95"/>
              <w:rPr>
                <w:rFonts w:ascii="Cambria" w:hAnsi="Cambria"/>
              </w:rPr>
            </w:pPr>
            <w:r w:rsidRPr="007F6399">
              <w:rPr>
                <w:rFonts w:ascii="Cambria" w:hAnsi="Cambria"/>
              </w:rPr>
              <w:t>5.066</w:t>
            </w:r>
          </w:p>
        </w:tc>
        <w:tc>
          <w:tcPr>
            <w:tcW w:w="811" w:type="dxa"/>
            <w:tcBorders>
              <w:bottom w:val="single" w:sz="6" w:space="0" w:color="000000"/>
            </w:tcBorders>
          </w:tcPr>
          <w:p w14:paraId="1C933FA3" w14:textId="77777777" w:rsidR="00DD0400" w:rsidRPr="007F6399" w:rsidRDefault="00DD0400" w:rsidP="00BA0494">
            <w:pPr>
              <w:pStyle w:val="TableParagraph"/>
              <w:spacing w:line="240" w:lineRule="auto"/>
              <w:ind w:left="103" w:right="122"/>
              <w:rPr>
                <w:rFonts w:ascii="Cambria" w:hAnsi="Cambria"/>
              </w:rPr>
            </w:pPr>
            <w:r w:rsidRPr="007F6399">
              <w:rPr>
                <w:rFonts w:ascii="Cambria" w:hAnsi="Cambria"/>
              </w:rPr>
              <w:t>8.928</w:t>
            </w:r>
          </w:p>
        </w:tc>
      </w:tr>
    </w:tbl>
    <w:p w14:paraId="5F5FE037" w14:textId="66D00038" w:rsidR="00DD0400" w:rsidRPr="007F6399" w:rsidRDefault="00DD0400" w:rsidP="009C6CD0">
      <w:pPr>
        <w:jc w:val="both"/>
        <w:rPr>
          <w:rFonts w:ascii="Cambria" w:hAnsi="Cambria"/>
          <w:color w:val="000000" w:themeColor="text1"/>
        </w:rPr>
      </w:pPr>
    </w:p>
    <w:tbl>
      <w:tblPr>
        <w:tblW w:w="10350" w:type="dxa"/>
        <w:tblInd w:w="-270" w:type="dxa"/>
        <w:tblLayout w:type="fixed"/>
        <w:tblCellMar>
          <w:left w:w="0" w:type="dxa"/>
          <w:right w:w="0" w:type="dxa"/>
        </w:tblCellMar>
        <w:tblLook w:val="01E0" w:firstRow="1" w:lastRow="1" w:firstColumn="1" w:lastColumn="1" w:noHBand="0" w:noVBand="0"/>
      </w:tblPr>
      <w:tblGrid>
        <w:gridCol w:w="1440"/>
        <w:gridCol w:w="810"/>
        <w:gridCol w:w="1080"/>
        <w:gridCol w:w="981"/>
        <w:gridCol w:w="811"/>
        <w:gridCol w:w="866"/>
        <w:gridCol w:w="42"/>
        <w:gridCol w:w="900"/>
        <w:gridCol w:w="810"/>
        <w:gridCol w:w="810"/>
        <w:gridCol w:w="924"/>
        <w:gridCol w:w="876"/>
      </w:tblGrid>
      <w:tr w:rsidR="00D03F54" w:rsidRPr="007F6399" w14:paraId="1B5BFDDD" w14:textId="77777777" w:rsidTr="00FA12EE">
        <w:trPr>
          <w:trHeight w:val="375"/>
        </w:trPr>
        <w:tc>
          <w:tcPr>
            <w:tcW w:w="1440" w:type="dxa"/>
            <w:tcBorders>
              <w:bottom w:val="single" w:sz="6" w:space="0" w:color="000000"/>
            </w:tcBorders>
          </w:tcPr>
          <w:p w14:paraId="3AF4226C" w14:textId="77777777" w:rsidR="00D03F54" w:rsidRPr="007F6399" w:rsidRDefault="00D03F54" w:rsidP="00BA0494">
            <w:pPr>
              <w:pStyle w:val="TableParagraph"/>
              <w:spacing w:line="240" w:lineRule="auto"/>
              <w:ind w:left="0"/>
              <w:jc w:val="left"/>
              <w:rPr>
                <w:rFonts w:ascii="Cambria" w:hAnsi="Cambria"/>
              </w:rPr>
            </w:pPr>
          </w:p>
        </w:tc>
        <w:tc>
          <w:tcPr>
            <w:tcW w:w="4548" w:type="dxa"/>
            <w:gridSpan w:val="5"/>
            <w:tcBorders>
              <w:top w:val="single" w:sz="4" w:space="0" w:color="000000"/>
              <w:bottom w:val="single" w:sz="6" w:space="0" w:color="000000"/>
            </w:tcBorders>
          </w:tcPr>
          <w:p w14:paraId="317754D5" w14:textId="3BF2EB92" w:rsidR="00D03F54" w:rsidRPr="007F6399" w:rsidRDefault="00D03F54" w:rsidP="00BA0494">
            <w:pPr>
              <w:pStyle w:val="TableParagraph"/>
              <w:spacing w:before="49" w:line="240" w:lineRule="auto"/>
              <w:ind w:left="100" w:right="68"/>
              <w:rPr>
                <w:rFonts w:ascii="Cambria" w:hAnsi="Cambria"/>
              </w:rPr>
            </w:pPr>
            <w:r w:rsidRPr="007F6399">
              <w:rPr>
                <w:rFonts w:ascii="Cambria" w:hAnsi="Cambria"/>
              </w:rPr>
              <w:t>Geopolitical</w:t>
            </w:r>
            <w:r w:rsidRPr="007F6399">
              <w:rPr>
                <w:rFonts w:ascii="Cambria" w:hAnsi="Cambria"/>
                <w:spacing w:val="-5"/>
              </w:rPr>
              <w:t xml:space="preserve"> </w:t>
            </w:r>
            <w:r w:rsidRPr="007F6399">
              <w:rPr>
                <w:rFonts w:ascii="Cambria" w:hAnsi="Cambria"/>
              </w:rPr>
              <w:t>Risk</w:t>
            </w:r>
            <w:r w:rsidRPr="007F6399">
              <w:rPr>
                <w:rFonts w:ascii="Cambria" w:hAnsi="Cambria"/>
                <w:spacing w:val="-5"/>
              </w:rPr>
              <w:t xml:space="preserve"> </w:t>
            </w:r>
            <w:r w:rsidRPr="007F6399">
              <w:rPr>
                <w:rFonts w:ascii="Cambria" w:hAnsi="Cambria"/>
              </w:rPr>
              <w:t>Shock</w:t>
            </w:r>
          </w:p>
        </w:tc>
        <w:tc>
          <w:tcPr>
            <w:tcW w:w="42" w:type="dxa"/>
            <w:tcBorders>
              <w:bottom w:val="single" w:sz="6" w:space="0" w:color="000000"/>
            </w:tcBorders>
          </w:tcPr>
          <w:p w14:paraId="49FE46F8" w14:textId="77777777" w:rsidR="00D03F54" w:rsidRPr="007F6399" w:rsidRDefault="00D03F54" w:rsidP="00BA0494">
            <w:pPr>
              <w:pStyle w:val="TableParagraph"/>
              <w:spacing w:line="240" w:lineRule="auto"/>
              <w:ind w:left="0"/>
              <w:jc w:val="left"/>
              <w:rPr>
                <w:rFonts w:ascii="Cambria" w:hAnsi="Cambria"/>
              </w:rPr>
            </w:pPr>
          </w:p>
        </w:tc>
        <w:tc>
          <w:tcPr>
            <w:tcW w:w="4320" w:type="dxa"/>
            <w:gridSpan w:val="5"/>
            <w:tcBorders>
              <w:top w:val="single" w:sz="4" w:space="0" w:color="000000"/>
              <w:bottom w:val="single" w:sz="6" w:space="0" w:color="000000"/>
            </w:tcBorders>
          </w:tcPr>
          <w:p w14:paraId="1BA4C666" w14:textId="7F940AED" w:rsidR="00D03F54" w:rsidRPr="007F6399" w:rsidRDefault="00D03F54" w:rsidP="00BA0494">
            <w:pPr>
              <w:pStyle w:val="TableParagraph"/>
              <w:spacing w:before="49" w:line="240" w:lineRule="auto"/>
              <w:ind w:right="91"/>
              <w:rPr>
                <w:rFonts w:ascii="Cambria" w:hAnsi="Cambria"/>
              </w:rPr>
            </w:pPr>
            <w:r w:rsidRPr="007F6399">
              <w:rPr>
                <w:rFonts w:ascii="Cambria" w:hAnsi="Cambria"/>
              </w:rPr>
              <w:t>Oil Supply</w:t>
            </w:r>
            <w:r w:rsidRPr="007F6399">
              <w:rPr>
                <w:rFonts w:ascii="Cambria" w:hAnsi="Cambria"/>
                <w:spacing w:val="-3"/>
              </w:rPr>
              <w:t xml:space="preserve"> </w:t>
            </w:r>
            <w:r w:rsidRPr="007F6399">
              <w:rPr>
                <w:rFonts w:ascii="Cambria" w:hAnsi="Cambria"/>
              </w:rPr>
              <w:t>Shock</w:t>
            </w:r>
          </w:p>
        </w:tc>
      </w:tr>
      <w:tr w:rsidR="00FA12EE" w:rsidRPr="007F6399" w14:paraId="70AE6AC8" w14:textId="77777777" w:rsidTr="00FA12EE">
        <w:trPr>
          <w:trHeight w:val="375"/>
        </w:trPr>
        <w:tc>
          <w:tcPr>
            <w:tcW w:w="1440" w:type="dxa"/>
            <w:tcBorders>
              <w:bottom w:val="single" w:sz="6" w:space="0" w:color="000000"/>
            </w:tcBorders>
          </w:tcPr>
          <w:p w14:paraId="64718A2C" w14:textId="77777777" w:rsidR="00D03F54" w:rsidRPr="007F6399" w:rsidRDefault="00D03F54" w:rsidP="00BA0494">
            <w:pPr>
              <w:pStyle w:val="TableParagraph"/>
              <w:spacing w:line="240" w:lineRule="auto"/>
              <w:ind w:left="0"/>
              <w:jc w:val="left"/>
              <w:rPr>
                <w:rFonts w:ascii="Cambria" w:hAnsi="Cambria"/>
              </w:rPr>
            </w:pPr>
          </w:p>
        </w:tc>
        <w:tc>
          <w:tcPr>
            <w:tcW w:w="810" w:type="dxa"/>
            <w:tcBorders>
              <w:top w:val="single" w:sz="4" w:space="0" w:color="000000"/>
              <w:bottom w:val="single" w:sz="6" w:space="0" w:color="000000"/>
            </w:tcBorders>
          </w:tcPr>
          <w:p w14:paraId="72CEAA00" w14:textId="77777777" w:rsidR="00D03F54" w:rsidRPr="007F6399" w:rsidRDefault="00D03F54" w:rsidP="00BA0494">
            <w:pPr>
              <w:pStyle w:val="TableParagraph"/>
              <w:spacing w:before="49" w:line="240" w:lineRule="auto"/>
              <w:ind w:left="0"/>
              <w:rPr>
                <w:rFonts w:ascii="Cambria" w:hAnsi="Cambria"/>
              </w:rPr>
            </w:pPr>
            <w:r w:rsidRPr="007F6399">
              <w:rPr>
                <w:rFonts w:ascii="Cambria" w:hAnsi="Cambria"/>
                <w:w w:val="99"/>
              </w:rPr>
              <w:t>1</w:t>
            </w:r>
          </w:p>
        </w:tc>
        <w:tc>
          <w:tcPr>
            <w:tcW w:w="1080" w:type="dxa"/>
            <w:tcBorders>
              <w:top w:val="single" w:sz="4" w:space="0" w:color="000000"/>
              <w:bottom w:val="single" w:sz="6" w:space="0" w:color="000000"/>
            </w:tcBorders>
          </w:tcPr>
          <w:p w14:paraId="7D5CB10A" w14:textId="77777777" w:rsidR="00D03F54" w:rsidRPr="007F6399" w:rsidRDefault="00D03F54" w:rsidP="00BA0494">
            <w:pPr>
              <w:pStyle w:val="TableParagraph"/>
              <w:spacing w:before="49" w:line="240" w:lineRule="auto"/>
              <w:ind w:left="0" w:right="25"/>
              <w:rPr>
                <w:rFonts w:ascii="Cambria" w:hAnsi="Cambria"/>
              </w:rPr>
            </w:pPr>
            <w:r w:rsidRPr="007F6399">
              <w:rPr>
                <w:rFonts w:ascii="Cambria" w:hAnsi="Cambria"/>
                <w:w w:val="99"/>
              </w:rPr>
              <w:t>6</w:t>
            </w:r>
          </w:p>
        </w:tc>
        <w:tc>
          <w:tcPr>
            <w:tcW w:w="981" w:type="dxa"/>
            <w:tcBorders>
              <w:top w:val="single" w:sz="4" w:space="0" w:color="000000"/>
              <w:bottom w:val="single" w:sz="6" w:space="0" w:color="000000"/>
            </w:tcBorders>
          </w:tcPr>
          <w:p w14:paraId="6800D453" w14:textId="77777777" w:rsidR="00D03F54" w:rsidRPr="007F6399" w:rsidRDefault="00D03F54" w:rsidP="00BA0494">
            <w:pPr>
              <w:pStyle w:val="TableParagraph"/>
              <w:spacing w:before="49" w:line="240" w:lineRule="auto"/>
              <w:ind w:left="100" w:right="122"/>
              <w:rPr>
                <w:rFonts w:ascii="Cambria" w:hAnsi="Cambria"/>
              </w:rPr>
            </w:pPr>
            <w:r w:rsidRPr="007F6399">
              <w:rPr>
                <w:rFonts w:ascii="Cambria" w:hAnsi="Cambria"/>
              </w:rPr>
              <w:t>12</w:t>
            </w:r>
          </w:p>
        </w:tc>
        <w:tc>
          <w:tcPr>
            <w:tcW w:w="811" w:type="dxa"/>
            <w:tcBorders>
              <w:top w:val="single" w:sz="4" w:space="0" w:color="000000"/>
              <w:bottom w:val="single" w:sz="6" w:space="0" w:color="000000"/>
            </w:tcBorders>
          </w:tcPr>
          <w:p w14:paraId="02DE728F" w14:textId="77777777" w:rsidR="00D03F54" w:rsidRPr="007F6399" w:rsidRDefault="00D03F54" w:rsidP="00BA0494">
            <w:pPr>
              <w:pStyle w:val="TableParagraph"/>
              <w:spacing w:before="49" w:line="240" w:lineRule="auto"/>
              <w:ind w:left="127" w:right="96"/>
              <w:rPr>
                <w:rFonts w:ascii="Cambria" w:hAnsi="Cambria"/>
              </w:rPr>
            </w:pPr>
            <w:r w:rsidRPr="007F6399">
              <w:rPr>
                <w:rFonts w:ascii="Cambria" w:hAnsi="Cambria"/>
              </w:rPr>
              <w:t>24</w:t>
            </w:r>
          </w:p>
        </w:tc>
        <w:tc>
          <w:tcPr>
            <w:tcW w:w="866" w:type="dxa"/>
            <w:tcBorders>
              <w:top w:val="single" w:sz="4" w:space="0" w:color="000000"/>
              <w:bottom w:val="single" w:sz="6" w:space="0" w:color="000000"/>
            </w:tcBorders>
          </w:tcPr>
          <w:p w14:paraId="2ADD9BD6" w14:textId="77777777" w:rsidR="00D03F54" w:rsidRPr="007F6399" w:rsidRDefault="00D03F54" w:rsidP="00BA0494">
            <w:pPr>
              <w:pStyle w:val="TableParagraph"/>
              <w:spacing w:before="49" w:line="240" w:lineRule="auto"/>
              <w:ind w:left="100" w:right="68"/>
              <w:rPr>
                <w:rFonts w:ascii="Cambria" w:hAnsi="Cambria"/>
              </w:rPr>
            </w:pPr>
            <w:r w:rsidRPr="007F6399">
              <w:rPr>
                <w:rFonts w:ascii="Cambria" w:hAnsi="Cambria"/>
              </w:rPr>
              <w:t>48</w:t>
            </w:r>
          </w:p>
        </w:tc>
        <w:tc>
          <w:tcPr>
            <w:tcW w:w="42" w:type="dxa"/>
            <w:tcBorders>
              <w:bottom w:val="single" w:sz="6" w:space="0" w:color="000000"/>
            </w:tcBorders>
          </w:tcPr>
          <w:p w14:paraId="12B029F4" w14:textId="77777777" w:rsidR="00D03F54" w:rsidRPr="007F6399" w:rsidRDefault="00D03F54" w:rsidP="00BA0494">
            <w:pPr>
              <w:pStyle w:val="TableParagraph"/>
              <w:spacing w:line="240" w:lineRule="auto"/>
              <w:ind w:left="0"/>
              <w:jc w:val="left"/>
              <w:rPr>
                <w:rFonts w:ascii="Cambria" w:hAnsi="Cambria"/>
              </w:rPr>
            </w:pPr>
          </w:p>
        </w:tc>
        <w:tc>
          <w:tcPr>
            <w:tcW w:w="900" w:type="dxa"/>
            <w:tcBorders>
              <w:top w:val="single" w:sz="4" w:space="0" w:color="000000"/>
              <w:bottom w:val="single" w:sz="6" w:space="0" w:color="000000"/>
            </w:tcBorders>
          </w:tcPr>
          <w:p w14:paraId="0B462B85" w14:textId="77777777" w:rsidR="00D03F54" w:rsidRPr="007F6399" w:rsidRDefault="00D03F54" w:rsidP="00BA0494">
            <w:pPr>
              <w:pStyle w:val="TableParagraph"/>
              <w:spacing w:before="49" w:line="240" w:lineRule="auto"/>
              <w:ind w:left="5"/>
              <w:rPr>
                <w:rFonts w:ascii="Cambria" w:hAnsi="Cambria"/>
              </w:rPr>
            </w:pPr>
            <w:r w:rsidRPr="007F6399">
              <w:rPr>
                <w:rFonts w:ascii="Cambria" w:hAnsi="Cambria"/>
                <w:w w:val="99"/>
              </w:rPr>
              <w:t>1</w:t>
            </w:r>
          </w:p>
        </w:tc>
        <w:tc>
          <w:tcPr>
            <w:tcW w:w="810" w:type="dxa"/>
            <w:tcBorders>
              <w:top w:val="single" w:sz="4" w:space="0" w:color="000000"/>
              <w:bottom w:val="single" w:sz="6" w:space="0" w:color="000000"/>
            </w:tcBorders>
          </w:tcPr>
          <w:p w14:paraId="1E00316F" w14:textId="77777777" w:rsidR="00D03F54" w:rsidRPr="007F6399" w:rsidRDefault="00D03F54" w:rsidP="00BA0494">
            <w:pPr>
              <w:pStyle w:val="TableParagraph"/>
              <w:spacing w:before="49" w:line="240" w:lineRule="auto"/>
              <w:ind w:left="5"/>
              <w:rPr>
                <w:rFonts w:ascii="Cambria" w:hAnsi="Cambria"/>
              </w:rPr>
            </w:pPr>
            <w:r w:rsidRPr="007F6399">
              <w:rPr>
                <w:rFonts w:ascii="Cambria" w:hAnsi="Cambria"/>
                <w:w w:val="99"/>
              </w:rPr>
              <w:t>6</w:t>
            </w:r>
          </w:p>
        </w:tc>
        <w:tc>
          <w:tcPr>
            <w:tcW w:w="810" w:type="dxa"/>
            <w:tcBorders>
              <w:top w:val="single" w:sz="4" w:space="0" w:color="000000"/>
              <w:bottom w:val="single" w:sz="6" w:space="0" w:color="000000"/>
            </w:tcBorders>
          </w:tcPr>
          <w:p w14:paraId="087537EF" w14:textId="77777777" w:rsidR="00D03F54" w:rsidRPr="007F6399" w:rsidRDefault="00D03F54" w:rsidP="00BA0494">
            <w:pPr>
              <w:pStyle w:val="TableParagraph"/>
              <w:spacing w:before="49" w:line="240" w:lineRule="auto"/>
              <w:ind w:right="91"/>
              <w:rPr>
                <w:rFonts w:ascii="Cambria" w:hAnsi="Cambria"/>
              </w:rPr>
            </w:pPr>
            <w:r w:rsidRPr="007F6399">
              <w:rPr>
                <w:rFonts w:ascii="Cambria" w:hAnsi="Cambria"/>
              </w:rPr>
              <w:t>12</w:t>
            </w:r>
          </w:p>
        </w:tc>
        <w:tc>
          <w:tcPr>
            <w:tcW w:w="924" w:type="dxa"/>
            <w:tcBorders>
              <w:top w:val="single" w:sz="4" w:space="0" w:color="000000"/>
              <w:bottom w:val="single" w:sz="6" w:space="0" w:color="000000"/>
            </w:tcBorders>
          </w:tcPr>
          <w:p w14:paraId="13EF7FAD" w14:textId="77777777" w:rsidR="00D03F54" w:rsidRPr="007F6399" w:rsidRDefault="00D03F54" w:rsidP="00BA0494">
            <w:pPr>
              <w:pStyle w:val="TableParagraph"/>
              <w:spacing w:before="49" w:line="240" w:lineRule="auto"/>
              <w:ind w:right="91"/>
              <w:rPr>
                <w:rFonts w:ascii="Cambria" w:hAnsi="Cambria"/>
              </w:rPr>
            </w:pPr>
            <w:r w:rsidRPr="007F6399">
              <w:rPr>
                <w:rFonts w:ascii="Cambria" w:hAnsi="Cambria"/>
              </w:rPr>
              <w:t>24</w:t>
            </w:r>
          </w:p>
        </w:tc>
        <w:tc>
          <w:tcPr>
            <w:tcW w:w="876" w:type="dxa"/>
            <w:tcBorders>
              <w:top w:val="single" w:sz="4" w:space="0" w:color="000000"/>
              <w:bottom w:val="single" w:sz="6" w:space="0" w:color="000000"/>
            </w:tcBorders>
          </w:tcPr>
          <w:p w14:paraId="6601DDFF" w14:textId="77777777" w:rsidR="00D03F54" w:rsidRPr="007F6399" w:rsidRDefault="00D03F54" w:rsidP="00BA0494">
            <w:pPr>
              <w:pStyle w:val="TableParagraph"/>
              <w:spacing w:before="49" w:line="240" w:lineRule="auto"/>
              <w:ind w:right="91"/>
              <w:rPr>
                <w:rFonts w:ascii="Cambria" w:hAnsi="Cambria"/>
              </w:rPr>
            </w:pPr>
            <w:r w:rsidRPr="007F6399">
              <w:rPr>
                <w:rFonts w:ascii="Cambria" w:hAnsi="Cambria"/>
              </w:rPr>
              <w:t>48</w:t>
            </w:r>
          </w:p>
        </w:tc>
      </w:tr>
      <w:tr w:rsidR="00FA12EE" w:rsidRPr="007F6399" w14:paraId="235D0203" w14:textId="77777777" w:rsidTr="00FA12EE">
        <w:trPr>
          <w:trHeight w:val="320"/>
        </w:trPr>
        <w:tc>
          <w:tcPr>
            <w:tcW w:w="1440" w:type="dxa"/>
            <w:tcBorders>
              <w:top w:val="single" w:sz="6" w:space="0" w:color="000000"/>
            </w:tcBorders>
          </w:tcPr>
          <w:p w14:paraId="6E43711E" w14:textId="77777777" w:rsidR="00D03F54" w:rsidRPr="007F6399" w:rsidRDefault="00D03F54" w:rsidP="00BA0494">
            <w:pPr>
              <w:pStyle w:val="TableParagraph"/>
              <w:spacing w:before="49"/>
              <w:ind w:left="119"/>
              <w:jc w:val="left"/>
              <w:rPr>
                <w:rFonts w:ascii="Cambria" w:hAnsi="Cambria"/>
              </w:rPr>
            </w:pPr>
            <w:r w:rsidRPr="007F6399">
              <w:rPr>
                <w:rFonts w:ascii="Cambria" w:hAnsi="Cambria"/>
              </w:rPr>
              <w:t>Stock market</w:t>
            </w:r>
          </w:p>
        </w:tc>
        <w:tc>
          <w:tcPr>
            <w:tcW w:w="810" w:type="dxa"/>
            <w:tcBorders>
              <w:top w:val="single" w:sz="6" w:space="0" w:color="000000"/>
            </w:tcBorders>
          </w:tcPr>
          <w:p w14:paraId="2C576C7C" w14:textId="77777777" w:rsidR="00D03F54" w:rsidRPr="007F6399" w:rsidRDefault="00D03F54" w:rsidP="00BA0494">
            <w:pPr>
              <w:pStyle w:val="TableParagraph"/>
              <w:spacing w:before="49"/>
              <w:ind w:left="96" w:right="95"/>
              <w:rPr>
                <w:rFonts w:ascii="Cambria" w:hAnsi="Cambria"/>
              </w:rPr>
            </w:pPr>
            <w:r w:rsidRPr="007F6399">
              <w:rPr>
                <w:rFonts w:ascii="Cambria" w:hAnsi="Cambria"/>
              </w:rPr>
              <w:t>0.679</w:t>
            </w:r>
          </w:p>
        </w:tc>
        <w:tc>
          <w:tcPr>
            <w:tcW w:w="1080" w:type="dxa"/>
            <w:tcBorders>
              <w:top w:val="single" w:sz="6" w:space="0" w:color="000000"/>
            </w:tcBorders>
          </w:tcPr>
          <w:p w14:paraId="30E989C5" w14:textId="77777777" w:rsidR="00D03F54" w:rsidRPr="007F6399" w:rsidRDefault="00D03F54" w:rsidP="00BA0494">
            <w:pPr>
              <w:pStyle w:val="TableParagraph"/>
              <w:spacing w:before="49"/>
              <w:ind w:left="99" w:right="122"/>
              <w:rPr>
                <w:rFonts w:ascii="Cambria" w:hAnsi="Cambria"/>
              </w:rPr>
            </w:pPr>
            <w:r w:rsidRPr="007F6399">
              <w:rPr>
                <w:rFonts w:ascii="Cambria" w:hAnsi="Cambria"/>
              </w:rPr>
              <w:t>1.074</w:t>
            </w:r>
          </w:p>
        </w:tc>
        <w:tc>
          <w:tcPr>
            <w:tcW w:w="981" w:type="dxa"/>
            <w:tcBorders>
              <w:top w:val="single" w:sz="6" w:space="0" w:color="000000"/>
            </w:tcBorders>
          </w:tcPr>
          <w:p w14:paraId="0A57114D" w14:textId="77777777" w:rsidR="00D03F54" w:rsidRPr="007F6399" w:rsidRDefault="00D03F54" w:rsidP="00BA0494">
            <w:pPr>
              <w:pStyle w:val="TableParagraph"/>
              <w:spacing w:before="49"/>
              <w:ind w:left="100" w:right="122"/>
              <w:rPr>
                <w:rFonts w:ascii="Cambria" w:hAnsi="Cambria"/>
              </w:rPr>
            </w:pPr>
            <w:r w:rsidRPr="007F6399">
              <w:rPr>
                <w:rFonts w:ascii="Cambria" w:hAnsi="Cambria"/>
              </w:rPr>
              <w:t>1.865</w:t>
            </w:r>
          </w:p>
        </w:tc>
        <w:tc>
          <w:tcPr>
            <w:tcW w:w="811" w:type="dxa"/>
            <w:tcBorders>
              <w:top w:val="single" w:sz="6" w:space="0" w:color="000000"/>
            </w:tcBorders>
          </w:tcPr>
          <w:p w14:paraId="493F7C6E" w14:textId="77777777" w:rsidR="00D03F54" w:rsidRPr="007F6399" w:rsidRDefault="00D03F54" w:rsidP="00BA0494">
            <w:pPr>
              <w:pStyle w:val="TableParagraph"/>
              <w:spacing w:before="49"/>
              <w:ind w:left="127" w:right="96"/>
              <w:rPr>
                <w:rFonts w:ascii="Cambria" w:hAnsi="Cambria"/>
              </w:rPr>
            </w:pPr>
            <w:r w:rsidRPr="007F6399">
              <w:rPr>
                <w:rFonts w:ascii="Cambria" w:hAnsi="Cambria"/>
              </w:rPr>
              <w:t>2.058</w:t>
            </w:r>
          </w:p>
        </w:tc>
        <w:tc>
          <w:tcPr>
            <w:tcW w:w="866" w:type="dxa"/>
            <w:tcBorders>
              <w:top w:val="single" w:sz="6" w:space="0" w:color="000000"/>
            </w:tcBorders>
          </w:tcPr>
          <w:p w14:paraId="2395706A" w14:textId="77777777" w:rsidR="00D03F54" w:rsidRPr="007F6399" w:rsidRDefault="00D03F54" w:rsidP="00BA0494">
            <w:pPr>
              <w:pStyle w:val="TableParagraph"/>
              <w:spacing w:before="49"/>
              <w:ind w:left="203"/>
              <w:jc w:val="left"/>
              <w:rPr>
                <w:rFonts w:ascii="Cambria" w:hAnsi="Cambria"/>
              </w:rPr>
            </w:pPr>
            <w:r w:rsidRPr="007F6399">
              <w:rPr>
                <w:rFonts w:ascii="Cambria" w:hAnsi="Cambria"/>
              </w:rPr>
              <w:t>2.770</w:t>
            </w:r>
          </w:p>
        </w:tc>
        <w:tc>
          <w:tcPr>
            <w:tcW w:w="42" w:type="dxa"/>
            <w:tcBorders>
              <w:top w:val="single" w:sz="6" w:space="0" w:color="000000"/>
            </w:tcBorders>
          </w:tcPr>
          <w:p w14:paraId="37064DED" w14:textId="77777777" w:rsidR="00D03F54" w:rsidRPr="007F6399" w:rsidRDefault="00D03F54" w:rsidP="00BA0494">
            <w:pPr>
              <w:pStyle w:val="TableParagraph"/>
              <w:spacing w:line="240" w:lineRule="auto"/>
              <w:ind w:left="0"/>
              <w:jc w:val="left"/>
              <w:rPr>
                <w:rFonts w:ascii="Cambria" w:hAnsi="Cambria"/>
              </w:rPr>
            </w:pPr>
          </w:p>
        </w:tc>
        <w:tc>
          <w:tcPr>
            <w:tcW w:w="900" w:type="dxa"/>
            <w:tcBorders>
              <w:top w:val="single" w:sz="6" w:space="0" w:color="000000"/>
            </w:tcBorders>
          </w:tcPr>
          <w:p w14:paraId="07E85884" w14:textId="77777777" w:rsidR="00D03F54" w:rsidRPr="007F6399" w:rsidRDefault="00D03F54" w:rsidP="00BA0494">
            <w:pPr>
              <w:pStyle w:val="TableParagraph"/>
              <w:spacing w:before="49"/>
              <w:ind w:left="98" w:right="93"/>
              <w:rPr>
                <w:rFonts w:ascii="Cambria" w:hAnsi="Cambria"/>
              </w:rPr>
            </w:pPr>
            <w:r w:rsidRPr="007F6399">
              <w:rPr>
                <w:rFonts w:ascii="Cambria" w:hAnsi="Cambria"/>
              </w:rPr>
              <w:t>1.926</w:t>
            </w:r>
          </w:p>
        </w:tc>
        <w:tc>
          <w:tcPr>
            <w:tcW w:w="810" w:type="dxa"/>
            <w:tcBorders>
              <w:top w:val="single" w:sz="6" w:space="0" w:color="000000"/>
            </w:tcBorders>
          </w:tcPr>
          <w:p w14:paraId="77986424" w14:textId="77777777" w:rsidR="00D03F54" w:rsidRPr="007F6399" w:rsidRDefault="00D03F54" w:rsidP="00BA0494">
            <w:pPr>
              <w:pStyle w:val="TableParagraph"/>
              <w:spacing w:before="49"/>
              <w:ind w:right="92"/>
              <w:rPr>
                <w:rFonts w:ascii="Cambria" w:hAnsi="Cambria"/>
              </w:rPr>
            </w:pPr>
            <w:r w:rsidRPr="007F6399">
              <w:rPr>
                <w:rFonts w:ascii="Cambria" w:hAnsi="Cambria"/>
              </w:rPr>
              <w:t>3.044</w:t>
            </w:r>
          </w:p>
        </w:tc>
        <w:tc>
          <w:tcPr>
            <w:tcW w:w="810" w:type="dxa"/>
            <w:tcBorders>
              <w:top w:val="single" w:sz="6" w:space="0" w:color="000000"/>
            </w:tcBorders>
          </w:tcPr>
          <w:p w14:paraId="2C46AF04" w14:textId="77777777" w:rsidR="00D03F54" w:rsidRPr="007F6399" w:rsidRDefault="00D03F54" w:rsidP="00BA0494">
            <w:pPr>
              <w:pStyle w:val="TableParagraph"/>
              <w:spacing w:before="49"/>
              <w:ind w:right="91"/>
              <w:rPr>
                <w:rFonts w:ascii="Cambria" w:hAnsi="Cambria"/>
              </w:rPr>
            </w:pPr>
            <w:r w:rsidRPr="007F6399">
              <w:rPr>
                <w:rFonts w:ascii="Cambria" w:hAnsi="Cambria"/>
              </w:rPr>
              <w:t>5.380</w:t>
            </w:r>
          </w:p>
        </w:tc>
        <w:tc>
          <w:tcPr>
            <w:tcW w:w="924" w:type="dxa"/>
            <w:tcBorders>
              <w:top w:val="single" w:sz="6" w:space="0" w:color="000000"/>
            </w:tcBorders>
          </w:tcPr>
          <w:p w14:paraId="2EB502B2" w14:textId="77777777" w:rsidR="00D03F54" w:rsidRPr="007F6399" w:rsidRDefault="00D03F54" w:rsidP="00BA0494">
            <w:pPr>
              <w:pStyle w:val="TableParagraph"/>
              <w:spacing w:before="49"/>
              <w:ind w:right="91"/>
              <w:rPr>
                <w:rFonts w:ascii="Cambria" w:hAnsi="Cambria"/>
              </w:rPr>
            </w:pPr>
            <w:r w:rsidRPr="007F6399">
              <w:rPr>
                <w:rFonts w:ascii="Cambria" w:hAnsi="Cambria"/>
              </w:rPr>
              <w:t>6.854</w:t>
            </w:r>
          </w:p>
        </w:tc>
        <w:tc>
          <w:tcPr>
            <w:tcW w:w="876" w:type="dxa"/>
            <w:tcBorders>
              <w:top w:val="single" w:sz="6" w:space="0" w:color="000000"/>
            </w:tcBorders>
          </w:tcPr>
          <w:p w14:paraId="7135431F" w14:textId="77777777" w:rsidR="00D03F54" w:rsidRPr="007F6399" w:rsidRDefault="00D03F54" w:rsidP="00BA0494">
            <w:pPr>
              <w:pStyle w:val="TableParagraph"/>
              <w:spacing w:before="49"/>
              <w:ind w:right="91"/>
              <w:rPr>
                <w:rFonts w:ascii="Cambria" w:hAnsi="Cambria"/>
              </w:rPr>
            </w:pPr>
            <w:r w:rsidRPr="007F6399">
              <w:rPr>
                <w:rFonts w:ascii="Cambria" w:hAnsi="Cambria"/>
              </w:rPr>
              <w:t>6.189</w:t>
            </w:r>
          </w:p>
        </w:tc>
      </w:tr>
      <w:tr w:rsidR="00FA12EE" w:rsidRPr="007F6399" w14:paraId="6F1BD02E" w14:textId="77777777" w:rsidTr="00FA12EE">
        <w:trPr>
          <w:trHeight w:val="270"/>
        </w:trPr>
        <w:tc>
          <w:tcPr>
            <w:tcW w:w="1440" w:type="dxa"/>
          </w:tcPr>
          <w:p w14:paraId="4222E968" w14:textId="77777777" w:rsidR="00D03F54" w:rsidRPr="007F6399" w:rsidRDefault="00D03F54" w:rsidP="00BA0494">
            <w:pPr>
              <w:pStyle w:val="TableParagraph"/>
              <w:ind w:left="119"/>
              <w:jc w:val="left"/>
              <w:rPr>
                <w:rFonts w:ascii="Cambria" w:hAnsi="Cambria"/>
              </w:rPr>
            </w:pPr>
            <w:r w:rsidRPr="007F6399">
              <w:rPr>
                <w:rFonts w:ascii="Cambria" w:hAnsi="Cambria"/>
              </w:rPr>
              <w:t>USD/INR</w:t>
            </w:r>
          </w:p>
        </w:tc>
        <w:tc>
          <w:tcPr>
            <w:tcW w:w="810" w:type="dxa"/>
          </w:tcPr>
          <w:p w14:paraId="50611D16" w14:textId="77777777" w:rsidR="00D03F54" w:rsidRPr="007F6399" w:rsidRDefault="00D03F54" w:rsidP="00BA0494">
            <w:pPr>
              <w:pStyle w:val="TableParagraph"/>
              <w:ind w:left="96" w:right="95"/>
              <w:rPr>
                <w:rFonts w:ascii="Cambria" w:hAnsi="Cambria"/>
              </w:rPr>
            </w:pPr>
            <w:r w:rsidRPr="007F6399">
              <w:rPr>
                <w:rFonts w:ascii="Cambria" w:hAnsi="Cambria"/>
              </w:rPr>
              <w:t>0.665</w:t>
            </w:r>
          </w:p>
        </w:tc>
        <w:tc>
          <w:tcPr>
            <w:tcW w:w="1080" w:type="dxa"/>
          </w:tcPr>
          <w:p w14:paraId="38A5BAD2" w14:textId="77777777" w:rsidR="00D03F54" w:rsidRPr="007F6399" w:rsidRDefault="00D03F54" w:rsidP="00BA0494">
            <w:pPr>
              <w:pStyle w:val="TableParagraph"/>
              <w:ind w:left="99" w:right="122"/>
              <w:rPr>
                <w:rFonts w:ascii="Cambria" w:hAnsi="Cambria"/>
              </w:rPr>
            </w:pPr>
            <w:r w:rsidRPr="007F6399">
              <w:rPr>
                <w:rFonts w:ascii="Cambria" w:hAnsi="Cambria"/>
              </w:rPr>
              <w:t>0.337</w:t>
            </w:r>
          </w:p>
        </w:tc>
        <w:tc>
          <w:tcPr>
            <w:tcW w:w="981" w:type="dxa"/>
          </w:tcPr>
          <w:p w14:paraId="48FCDE5C" w14:textId="77777777" w:rsidR="00D03F54" w:rsidRPr="007F6399" w:rsidRDefault="00D03F54" w:rsidP="00BA0494">
            <w:pPr>
              <w:pStyle w:val="TableParagraph"/>
              <w:ind w:left="100" w:right="122"/>
              <w:rPr>
                <w:rFonts w:ascii="Cambria" w:hAnsi="Cambria"/>
              </w:rPr>
            </w:pPr>
            <w:r w:rsidRPr="007F6399">
              <w:rPr>
                <w:rFonts w:ascii="Cambria" w:hAnsi="Cambria"/>
              </w:rPr>
              <w:t>0.565</w:t>
            </w:r>
          </w:p>
        </w:tc>
        <w:tc>
          <w:tcPr>
            <w:tcW w:w="811" w:type="dxa"/>
          </w:tcPr>
          <w:p w14:paraId="27EB419F" w14:textId="77777777" w:rsidR="00D03F54" w:rsidRPr="007F6399" w:rsidRDefault="00D03F54" w:rsidP="00BA0494">
            <w:pPr>
              <w:pStyle w:val="TableParagraph"/>
              <w:ind w:left="127" w:right="96"/>
              <w:rPr>
                <w:rFonts w:ascii="Cambria" w:hAnsi="Cambria"/>
              </w:rPr>
            </w:pPr>
            <w:r w:rsidRPr="007F6399">
              <w:rPr>
                <w:rFonts w:ascii="Cambria" w:hAnsi="Cambria"/>
              </w:rPr>
              <w:t>1.635</w:t>
            </w:r>
          </w:p>
        </w:tc>
        <w:tc>
          <w:tcPr>
            <w:tcW w:w="866" w:type="dxa"/>
          </w:tcPr>
          <w:p w14:paraId="07412E35" w14:textId="77777777" w:rsidR="00D03F54" w:rsidRPr="007F6399" w:rsidRDefault="00D03F54" w:rsidP="00BA0494">
            <w:pPr>
              <w:pStyle w:val="TableParagraph"/>
              <w:ind w:left="203"/>
              <w:jc w:val="left"/>
              <w:rPr>
                <w:rFonts w:ascii="Cambria" w:hAnsi="Cambria"/>
              </w:rPr>
            </w:pPr>
            <w:r w:rsidRPr="007F6399">
              <w:rPr>
                <w:rFonts w:ascii="Cambria" w:hAnsi="Cambria"/>
              </w:rPr>
              <w:t>1.791</w:t>
            </w:r>
          </w:p>
        </w:tc>
        <w:tc>
          <w:tcPr>
            <w:tcW w:w="42" w:type="dxa"/>
          </w:tcPr>
          <w:p w14:paraId="6A9658A1" w14:textId="77777777" w:rsidR="00D03F54" w:rsidRPr="007F6399" w:rsidRDefault="00D03F54" w:rsidP="00BA0494">
            <w:pPr>
              <w:pStyle w:val="TableParagraph"/>
              <w:spacing w:line="240" w:lineRule="auto"/>
              <w:ind w:left="0"/>
              <w:jc w:val="left"/>
              <w:rPr>
                <w:rFonts w:ascii="Cambria" w:hAnsi="Cambria"/>
              </w:rPr>
            </w:pPr>
          </w:p>
        </w:tc>
        <w:tc>
          <w:tcPr>
            <w:tcW w:w="900" w:type="dxa"/>
          </w:tcPr>
          <w:p w14:paraId="24D30D3B" w14:textId="77777777" w:rsidR="00D03F54" w:rsidRPr="007F6399" w:rsidRDefault="00D03F54" w:rsidP="00BA0494">
            <w:pPr>
              <w:pStyle w:val="TableParagraph"/>
              <w:ind w:left="98" w:right="93"/>
              <w:rPr>
                <w:rFonts w:ascii="Cambria" w:hAnsi="Cambria"/>
              </w:rPr>
            </w:pPr>
            <w:r w:rsidRPr="007F6399">
              <w:rPr>
                <w:rFonts w:ascii="Cambria" w:hAnsi="Cambria"/>
              </w:rPr>
              <w:t>0.497</w:t>
            </w:r>
          </w:p>
        </w:tc>
        <w:tc>
          <w:tcPr>
            <w:tcW w:w="810" w:type="dxa"/>
          </w:tcPr>
          <w:p w14:paraId="4FAF43C2" w14:textId="77777777" w:rsidR="00D03F54" w:rsidRPr="007F6399" w:rsidRDefault="00D03F54" w:rsidP="00BA0494">
            <w:pPr>
              <w:pStyle w:val="TableParagraph"/>
              <w:ind w:right="92"/>
              <w:rPr>
                <w:rFonts w:ascii="Cambria" w:hAnsi="Cambria"/>
              </w:rPr>
            </w:pPr>
            <w:r w:rsidRPr="007F6399">
              <w:rPr>
                <w:rFonts w:ascii="Cambria" w:hAnsi="Cambria"/>
              </w:rPr>
              <w:t>10.290</w:t>
            </w:r>
          </w:p>
        </w:tc>
        <w:tc>
          <w:tcPr>
            <w:tcW w:w="810" w:type="dxa"/>
          </w:tcPr>
          <w:p w14:paraId="11C75394" w14:textId="77777777" w:rsidR="00D03F54" w:rsidRPr="007F6399" w:rsidRDefault="00D03F54" w:rsidP="00BA0494">
            <w:pPr>
              <w:pStyle w:val="TableParagraph"/>
              <w:ind w:right="91"/>
              <w:rPr>
                <w:rFonts w:ascii="Cambria" w:hAnsi="Cambria"/>
              </w:rPr>
            </w:pPr>
            <w:r w:rsidRPr="007F6399">
              <w:rPr>
                <w:rFonts w:ascii="Cambria" w:hAnsi="Cambria"/>
              </w:rPr>
              <w:t>10.209</w:t>
            </w:r>
          </w:p>
        </w:tc>
        <w:tc>
          <w:tcPr>
            <w:tcW w:w="924" w:type="dxa"/>
          </w:tcPr>
          <w:p w14:paraId="26DE1009" w14:textId="77777777" w:rsidR="00D03F54" w:rsidRPr="007F6399" w:rsidRDefault="00D03F54" w:rsidP="00BA0494">
            <w:pPr>
              <w:pStyle w:val="TableParagraph"/>
              <w:ind w:right="91"/>
              <w:rPr>
                <w:rFonts w:ascii="Cambria" w:hAnsi="Cambria"/>
              </w:rPr>
            </w:pPr>
            <w:r w:rsidRPr="007F6399">
              <w:rPr>
                <w:rFonts w:ascii="Cambria" w:hAnsi="Cambria"/>
              </w:rPr>
              <w:t>12.324</w:t>
            </w:r>
          </w:p>
        </w:tc>
        <w:tc>
          <w:tcPr>
            <w:tcW w:w="876" w:type="dxa"/>
          </w:tcPr>
          <w:p w14:paraId="3019F6BF" w14:textId="77777777" w:rsidR="00D03F54" w:rsidRPr="007F6399" w:rsidRDefault="00D03F54" w:rsidP="00BA0494">
            <w:pPr>
              <w:pStyle w:val="TableParagraph"/>
              <w:ind w:right="91"/>
              <w:rPr>
                <w:rFonts w:ascii="Cambria" w:hAnsi="Cambria"/>
              </w:rPr>
            </w:pPr>
            <w:r w:rsidRPr="007F6399">
              <w:rPr>
                <w:rFonts w:ascii="Cambria" w:hAnsi="Cambria"/>
              </w:rPr>
              <w:t>9.143</w:t>
            </w:r>
          </w:p>
        </w:tc>
      </w:tr>
      <w:tr w:rsidR="00FA12EE" w:rsidRPr="007F6399" w14:paraId="782F9EB8" w14:textId="77777777" w:rsidTr="00FA12EE">
        <w:trPr>
          <w:trHeight w:val="270"/>
        </w:trPr>
        <w:tc>
          <w:tcPr>
            <w:tcW w:w="1440" w:type="dxa"/>
          </w:tcPr>
          <w:p w14:paraId="190E69E7" w14:textId="77777777" w:rsidR="00D03F54" w:rsidRPr="007F6399" w:rsidRDefault="00D03F54" w:rsidP="00BA0494">
            <w:pPr>
              <w:pStyle w:val="TableParagraph"/>
              <w:ind w:left="119"/>
              <w:jc w:val="left"/>
              <w:rPr>
                <w:rFonts w:ascii="Cambria" w:hAnsi="Cambria"/>
              </w:rPr>
            </w:pPr>
            <w:r w:rsidRPr="007F6399">
              <w:rPr>
                <w:rFonts w:ascii="Cambria" w:hAnsi="Cambria"/>
              </w:rPr>
              <w:t xml:space="preserve">10 </w:t>
            </w:r>
            <w:proofErr w:type="spellStart"/>
            <w:r w:rsidRPr="007F6399">
              <w:rPr>
                <w:rFonts w:ascii="Cambria" w:hAnsi="Cambria"/>
              </w:rPr>
              <w:t>yr</w:t>
            </w:r>
            <w:proofErr w:type="spellEnd"/>
            <w:r w:rsidRPr="007F6399">
              <w:rPr>
                <w:rFonts w:ascii="Cambria" w:hAnsi="Cambria"/>
              </w:rPr>
              <w:t xml:space="preserve"> bond</w:t>
            </w:r>
          </w:p>
        </w:tc>
        <w:tc>
          <w:tcPr>
            <w:tcW w:w="810" w:type="dxa"/>
          </w:tcPr>
          <w:p w14:paraId="590179B0" w14:textId="77777777" w:rsidR="00D03F54" w:rsidRPr="007F6399" w:rsidRDefault="00D03F54" w:rsidP="00BA0494">
            <w:pPr>
              <w:pStyle w:val="TableParagraph"/>
              <w:ind w:left="96" w:right="95"/>
              <w:rPr>
                <w:rFonts w:ascii="Cambria" w:hAnsi="Cambria"/>
              </w:rPr>
            </w:pPr>
            <w:r w:rsidRPr="007F6399">
              <w:rPr>
                <w:rFonts w:ascii="Cambria" w:hAnsi="Cambria"/>
              </w:rPr>
              <w:t>1.208</w:t>
            </w:r>
          </w:p>
        </w:tc>
        <w:tc>
          <w:tcPr>
            <w:tcW w:w="1080" w:type="dxa"/>
          </w:tcPr>
          <w:p w14:paraId="28A64CAD" w14:textId="77777777" w:rsidR="00D03F54" w:rsidRPr="007F6399" w:rsidRDefault="00D03F54" w:rsidP="00BA0494">
            <w:pPr>
              <w:pStyle w:val="TableParagraph"/>
              <w:ind w:left="99" w:right="122"/>
              <w:rPr>
                <w:rFonts w:ascii="Cambria" w:hAnsi="Cambria"/>
              </w:rPr>
            </w:pPr>
            <w:r w:rsidRPr="007F6399">
              <w:rPr>
                <w:rFonts w:ascii="Cambria" w:hAnsi="Cambria"/>
              </w:rPr>
              <w:t>0.633</w:t>
            </w:r>
          </w:p>
        </w:tc>
        <w:tc>
          <w:tcPr>
            <w:tcW w:w="981" w:type="dxa"/>
          </w:tcPr>
          <w:p w14:paraId="0ED8465E" w14:textId="77777777" w:rsidR="00D03F54" w:rsidRPr="007F6399" w:rsidRDefault="00D03F54" w:rsidP="00BA0494">
            <w:pPr>
              <w:pStyle w:val="TableParagraph"/>
              <w:ind w:left="100" w:right="122"/>
              <w:rPr>
                <w:rFonts w:ascii="Cambria" w:hAnsi="Cambria"/>
              </w:rPr>
            </w:pPr>
            <w:r w:rsidRPr="007F6399">
              <w:rPr>
                <w:rFonts w:ascii="Cambria" w:hAnsi="Cambria"/>
              </w:rPr>
              <w:t>0.429</w:t>
            </w:r>
          </w:p>
        </w:tc>
        <w:tc>
          <w:tcPr>
            <w:tcW w:w="811" w:type="dxa"/>
          </w:tcPr>
          <w:p w14:paraId="1A103C7F" w14:textId="77777777" w:rsidR="00D03F54" w:rsidRPr="007F6399" w:rsidRDefault="00D03F54" w:rsidP="00BA0494">
            <w:pPr>
              <w:pStyle w:val="TableParagraph"/>
              <w:ind w:left="127" w:right="96"/>
              <w:rPr>
                <w:rFonts w:ascii="Cambria" w:hAnsi="Cambria"/>
              </w:rPr>
            </w:pPr>
            <w:r w:rsidRPr="007F6399">
              <w:rPr>
                <w:rFonts w:ascii="Cambria" w:hAnsi="Cambria"/>
              </w:rPr>
              <w:t>0.493</w:t>
            </w:r>
          </w:p>
        </w:tc>
        <w:tc>
          <w:tcPr>
            <w:tcW w:w="866" w:type="dxa"/>
          </w:tcPr>
          <w:p w14:paraId="7BED9E63" w14:textId="77777777" w:rsidR="00D03F54" w:rsidRPr="007F6399" w:rsidRDefault="00D03F54" w:rsidP="00BA0494">
            <w:pPr>
              <w:pStyle w:val="TableParagraph"/>
              <w:ind w:left="203"/>
              <w:jc w:val="left"/>
              <w:rPr>
                <w:rFonts w:ascii="Cambria" w:hAnsi="Cambria"/>
              </w:rPr>
            </w:pPr>
            <w:r w:rsidRPr="007F6399">
              <w:rPr>
                <w:rFonts w:ascii="Cambria" w:hAnsi="Cambria"/>
              </w:rPr>
              <w:t>5.498</w:t>
            </w:r>
          </w:p>
        </w:tc>
        <w:tc>
          <w:tcPr>
            <w:tcW w:w="42" w:type="dxa"/>
          </w:tcPr>
          <w:p w14:paraId="65E23C64" w14:textId="77777777" w:rsidR="00D03F54" w:rsidRPr="007F6399" w:rsidRDefault="00D03F54" w:rsidP="00BA0494">
            <w:pPr>
              <w:pStyle w:val="TableParagraph"/>
              <w:spacing w:line="240" w:lineRule="auto"/>
              <w:ind w:left="0"/>
              <w:jc w:val="left"/>
              <w:rPr>
                <w:rFonts w:ascii="Cambria" w:hAnsi="Cambria"/>
              </w:rPr>
            </w:pPr>
          </w:p>
        </w:tc>
        <w:tc>
          <w:tcPr>
            <w:tcW w:w="900" w:type="dxa"/>
          </w:tcPr>
          <w:p w14:paraId="3333AF0E" w14:textId="77777777" w:rsidR="00D03F54" w:rsidRPr="007F6399" w:rsidRDefault="00D03F54" w:rsidP="00BA0494">
            <w:pPr>
              <w:pStyle w:val="TableParagraph"/>
              <w:ind w:left="98" w:right="93"/>
              <w:rPr>
                <w:rFonts w:ascii="Cambria" w:hAnsi="Cambria"/>
              </w:rPr>
            </w:pPr>
            <w:r w:rsidRPr="007F6399">
              <w:rPr>
                <w:rFonts w:ascii="Cambria" w:hAnsi="Cambria"/>
              </w:rPr>
              <w:t>2.295</w:t>
            </w:r>
          </w:p>
        </w:tc>
        <w:tc>
          <w:tcPr>
            <w:tcW w:w="810" w:type="dxa"/>
          </w:tcPr>
          <w:p w14:paraId="60CF870C" w14:textId="77777777" w:rsidR="00D03F54" w:rsidRPr="007F6399" w:rsidRDefault="00D03F54" w:rsidP="00BA0494">
            <w:pPr>
              <w:pStyle w:val="TableParagraph"/>
              <w:ind w:right="92"/>
              <w:rPr>
                <w:rFonts w:ascii="Cambria" w:hAnsi="Cambria"/>
              </w:rPr>
            </w:pPr>
            <w:r w:rsidRPr="007F6399">
              <w:rPr>
                <w:rFonts w:ascii="Cambria" w:hAnsi="Cambria"/>
              </w:rPr>
              <w:t>9.044</w:t>
            </w:r>
          </w:p>
        </w:tc>
        <w:tc>
          <w:tcPr>
            <w:tcW w:w="810" w:type="dxa"/>
          </w:tcPr>
          <w:p w14:paraId="147CC4D5" w14:textId="77777777" w:rsidR="00D03F54" w:rsidRPr="007F6399" w:rsidRDefault="00D03F54" w:rsidP="00BA0494">
            <w:pPr>
              <w:pStyle w:val="TableParagraph"/>
              <w:ind w:right="91"/>
              <w:rPr>
                <w:rFonts w:ascii="Cambria" w:hAnsi="Cambria"/>
              </w:rPr>
            </w:pPr>
            <w:r w:rsidRPr="007F6399">
              <w:rPr>
                <w:rFonts w:ascii="Cambria" w:hAnsi="Cambria"/>
              </w:rPr>
              <w:t>6.500</w:t>
            </w:r>
          </w:p>
        </w:tc>
        <w:tc>
          <w:tcPr>
            <w:tcW w:w="924" w:type="dxa"/>
          </w:tcPr>
          <w:p w14:paraId="1197E152" w14:textId="77777777" w:rsidR="00D03F54" w:rsidRPr="007F6399" w:rsidRDefault="00D03F54" w:rsidP="00BA0494">
            <w:pPr>
              <w:pStyle w:val="TableParagraph"/>
              <w:ind w:right="91"/>
              <w:rPr>
                <w:rFonts w:ascii="Cambria" w:hAnsi="Cambria"/>
              </w:rPr>
            </w:pPr>
            <w:r w:rsidRPr="007F6399">
              <w:rPr>
                <w:rFonts w:ascii="Cambria" w:hAnsi="Cambria"/>
              </w:rPr>
              <w:t>4.257</w:t>
            </w:r>
          </w:p>
        </w:tc>
        <w:tc>
          <w:tcPr>
            <w:tcW w:w="876" w:type="dxa"/>
          </w:tcPr>
          <w:p w14:paraId="0AABB446" w14:textId="77777777" w:rsidR="00D03F54" w:rsidRPr="007F6399" w:rsidRDefault="00D03F54" w:rsidP="00BA0494">
            <w:pPr>
              <w:pStyle w:val="TableParagraph"/>
              <w:ind w:right="91"/>
              <w:rPr>
                <w:rFonts w:ascii="Cambria" w:hAnsi="Cambria"/>
              </w:rPr>
            </w:pPr>
            <w:r w:rsidRPr="007F6399">
              <w:rPr>
                <w:rFonts w:ascii="Cambria" w:hAnsi="Cambria"/>
              </w:rPr>
              <w:t>4.032</w:t>
            </w:r>
          </w:p>
        </w:tc>
      </w:tr>
      <w:tr w:rsidR="00FA12EE" w:rsidRPr="007F6399" w14:paraId="5B8FC7B8" w14:textId="77777777" w:rsidTr="00FA12EE">
        <w:trPr>
          <w:trHeight w:val="270"/>
        </w:trPr>
        <w:tc>
          <w:tcPr>
            <w:tcW w:w="1440" w:type="dxa"/>
          </w:tcPr>
          <w:p w14:paraId="55E8E903" w14:textId="77777777" w:rsidR="00D03F54" w:rsidRPr="007F6399" w:rsidRDefault="00D03F54" w:rsidP="00BA0494">
            <w:pPr>
              <w:pStyle w:val="TableParagraph"/>
              <w:ind w:left="119"/>
              <w:jc w:val="left"/>
              <w:rPr>
                <w:rFonts w:ascii="Cambria" w:hAnsi="Cambria"/>
              </w:rPr>
            </w:pPr>
            <w:r w:rsidRPr="007F6399">
              <w:rPr>
                <w:rFonts w:ascii="Cambria" w:hAnsi="Cambria"/>
              </w:rPr>
              <w:t>Dollar Reserves</w:t>
            </w:r>
          </w:p>
        </w:tc>
        <w:tc>
          <w:tcPr>
            <w:tcW w:w="810" w:type="dxa"/>
          </w:tcPr>
          <w:p w14:paraId="633FEEC8" w14:textId="77777777" w:rsidR="00D03F54" w:rsidRPr="007F6399" w:rsidRDefault="00D03F54" w:rsidP="00BA0494">
            <w:pPr>
              <w:pStyle w:val="TableParagraph"/>
              <w:ind w:left="96" w:right="95"/>
              <w:rPr>
                <w:rFonts w:ascii="Cambria" w:hAnsi="Cambria"/>
              </w:rPr>
            </w:pPr>
            <w:r w:rsidRPr="007F6399">
              <w:rPr>
                <w:rFonts w:ascii="Cambria" w:hAnsi="Cambria"/>
              </w:rPr>
              <w:t>0.005</w:t>
            </w:r>
          </w:p>
        </w:tc>
        <w:tc>
          <w:tcPr>
            <w:tcW w:w="1080" w:type="dxa"/>
          </w:tcPr>
          <w:p w14:paraId="26B84E91" w14:textId="77777777" w:rsidR="00D03F54" w:rsidRPr="007F6399" w:rsidRDefault="00D03F54" w:rsidP="00BA0494">
            <w:pPr>
              <w:pStyle w:val="TableParagraph"/>
              <w:ind w:left="99" w:right="122"/>
              <w:rPr>
                <w:rFonts w:ascii="Cambria" w:hAnsi="Cambria"/>
              </w:rPr>
            </w:pPr>
            <w:r w:rsidRPr="007F6399">
              <w:rPr>
                <w:rFonts w:ascii="Cambria" w:hAnsi="Cambria"/>
              </w:rPr>
              <w:t>0.160</w:t>
            </w:r>
          </w:p>
        </w:tc>
        <w:tc>
          <w:tcPr>
            <w:tcW w:w="981" w:type="dxa"/>
          </w:tcPr>
          <w:p w14:paraId="07AAD756" w14:textId="77777777" w:rsidR="00D03F54" w:rsidRPr="007F6399" w:rsidRDefault="00D03F54" w:rsidP="00BA0494">
            <w:pPr>
              <w:pStyle w:val="TableParagraph"/>
              <w:ind w:left="100" w:right="122"/>
              <w:rPr>
                <w:rFonts w:ascii="Cambria" w:hAnsi="Cambria"/>
              </w:rPr>
            </w:pPr>
            <w:r w:rsidRPr="007F6399">
              <w:rPr>
                <w:rFonts w:ascii="Cambria" w:hAnsi="Cambria"/>
              </w:rPr>
              <w:t>1.712</w:t>
            </w:r>
          </w:p>
        </w:tc>
        <w:tc>
          <w:tcPr>
            <w:tcW w:w="811" w:type="dxa"/>
          </w:tcPr>
          <w:p w14:paraId="4013BCBC" w14:textId="77777777" w:rsidR="00D03F54" w:rsidRPr="007F6399" w:rsidRDefault="00D03F54" w:rsidP="00BA0494">
            <w:pPr>
              <w:pStyle w:val="TableParagraph"/>
              <w:ind w:left="127" w:right="96"/>
              <w:rPr>
                <w:rFonts w:ascii="Cambria" w:hAnsi="Cambria"/>
              </w:rPr>
            </w:pPr>
            <w:r w:rsidRPr="007F6399">
              <w:rPr>
                <w:rFonts w:ascii="Cambria" w:hAnsi="Cambria"/>
              </w:rPr>
              <w:t>2.414</w:t>
            </w:r>
          </w:p>
        </w:tc>
        <w:tc>
          <w:tcPr>
            <w:tcW w:w="866" w:type="dxa"/>
          </w:tcPr>
          <w:p w14:paraId="503C3E81" w14:textId="77777777" w:rsidR="00D03F54" w:rsidRPr="007F6399" w:rsidRDefault="00D03F54" w:rsidP="00BA0494">
            <w:pPr>
              <w:pStyle w:val="TableParagraph"/>
              <w:ind w:left="203"/>
              <w:jc w:val="left"/>
              <w:rPr>
                <w:rFonts w:ascii="Cambria" w:hAnsi="Cambria"/>
              </w:rPr>
            </w:pPr>
            <w:r w:rsidRPr="007F6399">
              <w:rPr>
                <w:rFonts w:ascii="Cambria" w:hAnsi="Cambria"/>
              </w:rPr>
              <w:t>6.543</w:t>
            </w:r>
          </w:p>
        </w:tc>
        <w:tc>
          <w:tcPr>
            <w:tcW w:w="42" w:type="dxa"/>
          </w:tcPr>
          <w:p w14:paraId="3236BC45" w14:textId="77777777" w:rsidR="00D03F54" w:rsidRPr="007F6399" w:rsidRDefault="00D03F54" w:rsidP="00BA0494">
            <w:pPr>
              <w:pStyle w:val="TableParagraph"/>
              <w:spacing w:line="240" w:lineRule="auto"/>
              <w:ind w:left="0"/>
              <w:jc w:val="left"/>
              <w:rPr>
                <w:rFonts w:ascii="Cambria" w:hAnsi="Cambria"/>
              </w:rPr>
            </w:pPr>
          </w:p>
        </w:tc>
        <w:tc>
          <w:tcPr>
            <w:tcW w:w="900" w:type="dxa"/>
          </w:tcPr>
          <w:p w14:paraId="78E181FF" w14:textId="77777777" w:rsidR="00D03F54" w:rsidRPr="007F6399" w:rsidRDefault="00D03F54" w:rsidP="00BA0494">
            <w:pPr>
              <w:pStyle w:val="TableParagraph"/>
              <w:ind w:left="98" w:right="93"/>
              <w:rPr>
                <w:rFonts w:ascii="Cambria" w:hAnsi="Cambria"/>
              </w:rPr>
            </w:pPr>
            <w:r w:rsidRPr="007F6399">
              <w:rPr>
                <w:rFonts w:ascii="Cambria" w:hAnsi="Cambria"/>
              </w:rPr>
              <w:t>2.038</w:t>
            </w:r>
          </w:p>
        </w:tc>
        <w:tc>
          <w:tcPr>
            <w:tcW w:w="810" w:type="dxa"/>
          </w:tcPr>
          <w:p w14:paraId="7E451928" w14:textId="77777777" w:rsidR="00D03F54" w:rsidRPr="007F6399" w:rsidRDefault="00D03F54" w:rsidP="00BA0494">
            <w:pPr>
              <w:pStyle w:val="TableParagraph"/>
              <w:ind w:right="92"/>
              <w:rPr>
                <w:rFonts w:ascii="Cambria" w:hAnsi="Cambria"/>
              </w:rPr>
            </w:pPr>
            <w:r w:rsidRPr="007F6399">
              <w:rPr>
                <w:rFonts w:ascii="Cambria" w:hAnsi="Cambria"/>
              </w:rPr>
              <w:t>2.504</w:t>
            </w:r>
          </w:p>
        </w:tc>
        <w:tc>
          <w:tcPr>
            <w:tcW w:w="810" w:type="dxa"/>
          </w:tcPr>
          <w:p w14:paraId="3BE307BF" w14:textId="77777777" w:rsidR="00D03F54" w:rsidRPr="007F6399" w:rsidRDefault="00D03F54" w:rsidP="00BA0494">
            <w:pPr>
              <w:pStyle w:val="TableParagraph"/>
              <w:ind w:right="91"/>
              <w:rPr>
                <w:rFonts w:ascii="Cambria" w:hAnsi="Cambria"/>
              </w:rPr>
            </w:pPr>
            <w:r w:rsidRPr="007F6399">
              <w:rPr>
                <w:rFonts w:ascii="Cambria" w:hAnsi="Cambria"/>
              </w:rPr>
              <w:t>2.002</w:t>
            </w:r>
          </w:p>
        </w:tc>
        <w:tc>
          <w:tcPr>
            <w:tcW w:w="924" w:type="dxa"/>
          </w:tcPr>
          <w:p w14:paraId="0FACF9BD" w14:textId="77777777" w:rsidR="00D03F54" w:rsidRPr="007F6399" w:rsidRDefault="00D03F54" w:rsidP="00BA0494">
            <w:pPr>
              <w:pStyle w:val="TableParagraph"/>
              <w:ind w:right="91"/>
              <w:rPr>
                <w:rFonts w:ascii="Cambria" w:hAnsi="Cambria"/>
              </w:rPr>
            </w:pPr>
            <w:r w:rsidRPr="007F6399">
              <w:rPr>
                <w:rFonts w:ascii="Cambria" w:hAnsi="Cambria"/>
              </w:rPr>
              <w:t>2.471</w:t>
            </w:r>
          </w:p>
        </w:tc>
        <w:tc>
          <w:tcPr>
            <w:tcW w:w="876" w:type="dxa"/>
          </w:tcPr>
          <w:p w14:paraId="79F588D8" w14:textId="77777777" w:rsidR="00D03F54" w:rsidRPr="007F6399" w:rsidRDefault="00D03F54" w:rsidP="00BA0494">
            <w:pPr>
              <w:pStyle w:val="TableParagraph"/>
              <w:ind w:right="91"/>
              <w:rPr>
                <w:rFonts w:ascii="Cambria" w:hAnsi="Cambria"/>
              </w:rPr>
            </w:pPr>
            <w:r w:rsidRPr="007F6399">
              <w:rPr>
                <w:rFonts w:ascii="Cambria" w:hAnsi="Cambria"/>
              </w:rPr>
              <w:t>3.028</w:t>
            </w:r>
          </w:p>
        </w:tc>
      </w:tr>
      <w:tr w:rsidR="00FA12EE" w:rsidRPr="007F6399" w14:paraId="791C0535" w14:textId="77777777" w:rsidTr="00FA12EE">
        <w:trPr>
          <w:trHeight w:val="270"/>
        </w:trPr>
        <w:tc>
          <w:tcPr>
            <w:tcW w:w="1440" w:type="dxa"/>
          </w:tcPr>
          <w:p w14:paraId="35EDC46C" w14:textId="77777777" w:rsidR="00D03F54" w:rsidRPr="007F6399" w:rsidRDefault="00D03F54" w:rsidP="00BA0494">
            <w:pPr>
              <w:pStyle w:val="TableParagraph"/>
              <w:ind w:left="119"/>
              <w:jc w:val="left"/>
              <w:rPr>
                <w:rFonts w:ascii="Cambria" w:hAnsi="Cambria"/>
              </w:rPr>
            </w:pPr>
            <w:r w:rsidRPr="007F6399">
              <w:rPr>
                <w:rFonts w:ascii="Cambria" w:hAnsi="Cambria"/>
              </w:rPr>
              <w:t>Inflation</w:t>
            </w:r>
          </w:p>
        </w:tc>
        <w:tc>
          <w:tcPr>
            <w:tcW w:w="810" w:type="dxa"/>
          </w:tcPr>
          <w:p w14:paraId="7D953042" w14:textId="77777777" w:rsidR="00D03F54" w:rsidRPr="007F6399" w:rsidRDefault="00D03F54" w:rsidP="00BA0494">
            <w:pPr>
              <w:pStyle w:val="TableParagraph"/>
              <w:ind w:left="96" w:right="95"/>
              <w:rPr>
                <w:rFonts w:ascii="Cambria" w:hAnsi="Cambria"/>
              </w:rPr>
            </w:pPr>
            <w:r w:rsidRPr="007F6399">
              <w:rPr>
                <w:rFonts w:ascii="Cambria" w:hAnsi="Cambria"/>
              </w:rPr>
              <w:t>0.260</w:t>
            </w:r>
          </w:p>
        </w:tc>
        <w:tc>
          <w:tcPr>
            <w:tcW w:w="1080" w:type="dxa"/>
          </w:tcPr>
          <w:p w14:paraId="5F6949B0" w14:textId="77777777" w:rsidR="00D03F54" w:rsidRPr="007F6399" w:rsidRDefault="00D03F54" w:rsidP="00BA0494">
            <w:pPr>
              <w:pStyle w:val="TableParagraph"/>
              <w:ind w:left="99" w:right="122"/>
              <w:rPr>
                <w:rFonts w:ascii="Cambria" w:hAnsi="Cambria"/>
              </w:rPr>
            </w:pPr>
            <w:r w:rsidRPr="007F6399">
              <w:rPr>
                <w:rFonts w:ascii="Cambria" w:hAnsi="Cambria"/>
              </w:rPr>
              <w:t>6.009</w:t>
            </w:r>
          </w:p>
        </w:tc>
        <w:tc>
          <w:tcPr>
            <w:tcW w:w="981" w:type="dxa"/>
          </w:tcPr>
          <w:p w14:paraId="653CCC90" w14:textId="77777777" w:rsidR="00D03F54" w:rsidRPr="007F6399" w:rsidRDefault="00D03F54" w:rsidP="00BA0494">
            <w:pPr>
              <w:pStyle w:val="TableParagraph"/>
              <w:ind w:left="100" w:right="122"/>
              <w:rPr>
                <w:rFonts w:ascii="Cambria" w:hAnsi="Cambria"/>
              </w:rPr>
            </w:pPr>
            <w:r w:rsidRPr="007F6399">
              <w:rPr>
                <w:rFonts w:ascii="Cambria" w:hAnsi="Cambria"/>
              </w:rPr>
              <w:t>8.654</w:t>
            </w:r>
          </w:p>
        </w:tc>
        <w:tc>
          <w:tcPr>
            <w:tcW w:w="811" w:type="dxa"/>
          </w:tcPr>
          <w:p w14:paraId="6880922B" w14:textId="77777777" w:rsidR="00D03F54" w:rsidRPr="007F6399" w:rsidRDefault="00D03F54" w:rsidP="00BA0494">
            <w:pPr>
              <w:pStyle w:val="TableParagraph"/>
              <w:ind w:left="127" w:right="96"/>
              <w:rPr>
                <w:rFonts w:ascii="Cambria" w:hAnsi="Cambria"/>
              </w:rPr>
            </w:pPr>
            <w:r w:rsidRPr="007F6399">
              <w:rPr>
                <w:rFonts w:ascii="Cambria" w:hAnsi="Cambria"/>
              </w:rPr>
              <w:t>9.319</w:t>
            </w:r>
          </w:p>
        </w:tc>
        <w:tc>
          <w:tcPr>
            <w:tcW w:w="866" w:type="dxa"/>
          </w:tcPr>
          <w:p w14:paraId="27745E01" w14:textId="77777777" w:rsidR="00D03F54" w:rsidRPr="007F6399" w:rsidRDefault="00D03F54" w:rsidP="00BA0494">
            <w:pPr>
              <w:pStyle w:val="TableParagraph"/>
              <w:ind w:left="149"/>
              <w:jc w:val="left"/>
              <w:rPr>
                <w:rFonts w:ascii="Cambria" w:hAnsi="Cambria"/>
              </w:rPr>
            </w:pPr>
            <w:r w:rsidRPr="007F6399">
              <w:rPr>
                <w:rFonts w:ascii="Cambria" w:hAnsi="Cambria"/>
              </w:rPr>
              <w:t>10.237</w:t>
            </w:r>
          </w:p>
        </w:tc>
        <w:tc>
          <w:tcPr>
            <w:tcW w:w="42" w:type="dxa"/>
          </w:tcPr>
          <w:p w14:paraId="364712CC" w14:textId="77777777" w:rsidR="00D03F54" w:rsidRPr="007F6399" w:rsidRDefault="00D03F54" w:rsidP="00BA0494">
            <w:pPr>
              <w:pStyle w:val="TableParagraph"/>
              <w:spacing w:line="240" w:lineRule="auto"/>
              <w:ind w:left="0"/>
              <w:jc w:val="left"/>
              <w:rPr>
                <w:rFonts w:ascii="Cambria" w:hAnsi="Cambria"/>
              </w:rPr>
            </w:pPr>
          </w:p>
        </w:tc>
        <w:tc>
          <w:tcPr>
            <w:tcW w:w="900" w:type="dxa"/>
          </w:tcPr>
          <w:p w14:paraId="5FA8EC0E" w14:textId="77777777" w:rsidR="00D03F54" w:rsidRPr="007F6399" w:rsidRDefault="00D03F54" w:rsidP="00BA0494">
            <w:pPr>
              <w:pStyle w:val="TableParagraph"/>
              <w:ind w:left="98" w:right="93"/>
              <w:rPr>
                <w:rFonts w:ascii="Cambria" w:hAnsi="Cambria"/>
              </w:rPr>
            </w:pPr>
            <w:r w:rsidRPr="007F6399">
              <w:rPr>
                <w:rFonts w:ascii="Cambria" w:hAnsi="Cambria"/>
              </w:rPr>
              <w:t>0.668</w:t>
            </w:r>
          </w:p>
        </w:tc>
        <w:tc>
          <w:tcPr>
            <w:tcW w:w="810" w:type="dxa"/>
          </w:tcPr>
          <w:p w14:paraId="6E74CE05" w14:textId="77777777" w:rsidR="00D03F54" w:rsidRPr="007F6399" w:rsidRDefault="00D03F54" w:rsidP="00BA0494">
            <w:pPr>
              <w:pStyle w:val="TableParagraph"/>
              <w:ind w:right="92"/>
              <w:rPr>
                <w:rFonts w:ascii="Cambria" w:hAnsi="Cambria"/>
              </w:rPr>
            </w:pPr>
            <w:r w:rsidRPr="007F6399">
              <w:rPr>
                <w:rFonts w:ascii="Cambria" w:hAnsi="Cambria"/>
              </w:rPr>
              <w:t>0.311</w:t>
            </w:r>
          </w:p>
        </w:tc>
        <w:tc>
          <w:tcPr>
            <w:tcW w:w="810" w:type="dxa"/>
          </w:tcPr>
          <w:p w14:paraId="1210761A" w14:textId="77777777" w:rsidR="00D03F54" w:rsidRPr="007F6399" w:rsidRDefault="00D03F54" w:rsidP="00BA0494">
            <w:pPr>
              <w:pStyle w:val="TableParagraph"/>
              <w:ind w:right="91"/>
              <w:rPr>
                <w:rFonts w:ascii="Cambria" w:hAnsi="Cambria"/>
              </w:rPr>
            </w:pPr>
            <w:r w:rsidRPr="007F6399">
              <w:rPr>
                <w:rFonts w:ascii="Cambria" w:hAnsi="Cambria"/>
              </w:rPr>
              <w:t>6.475</w:t>
            </w:r>
          </w:p>
        </w:tc>
        <w:tc>
          <w:tcPr>
            <w:tcW w:w="924" w:type="dxa"/>
          </w:tcPr>
          <w:p w14:paraId="1C8F86A9" w14:textId="77777777" w:rsidR="00D03F54" w:rsidRPr="007F6399" w:rsidRDefault="00D03F54" w:rsidP="00BA0494">
            <w:pPr>
              <w:pStyle w:val="TableParagraph"/>
              <w:ind w:right="91"/>
              <w:rPr>
                <w:rFonts w:ascii="Cambria" w:hAnsi="Cambria"/>
              </w:rPr>
            </w:pPr>
            <w:r w:rsidRPr="007F6399">
              <w:rPr>
                <w:rFonts w:ascii="Cambria" w:hAnsi="Cambria"/>
              </w:rPr>
              <w:t>5.415</w:t>
            </w:r>
          </w:p>
        </w:tc>
        <w:tc>
          <w:tcPr>
            <w:tcW w:w="876" w:type="dxa"/>
          </w:tcPr>
          <w:p w14:paraId="492DB23F" w14:textId="77777777" w:rsidR="00D03F54" w:rsidRPr="007F6399" w:rsidRDefault="00D03F54" w:rsidP="00BA0494">
            <w:pPr>
              <w:pStyle w:val="TableParagraph"/>
              <w:ind w:right="91"/>
              <w:rPr>
                <w:rFonts w:ascii="Cambria" w:hAnsi="Cambria"/>
              </w:rPr>
            </w:pPr>
            <w:r w:rsidRPr="007F6399">
              <w:rPr>
                <w:rFonts w:ascii="Cambria" w:hAnsi="Cambria"/>
              </w:rPr>
              <w:t>3.520</w:t>
            </w:r>
          </w:p>
        </w:tc>
      </w:tr>
      <w:tr w:rsidR="00FA12EE" w:rsidRPr="007F6399" w14:paraId="10B7ABF8" w14:textId="77777777" w:rsidTr="00FA12EE">
        <w:trPr>
          <w:trHeight w:val="327"/>
        </w:trPr>
        <w:tc>
          <w:tcPr>
            <w:tcW w:w="1440" w:type="dxa"/>
            <w:tcBorders>
              <w:bottom w:val="single" w:sz="8" w:space="0" w:color="000000"/>
            </w:tcBorders>
          </w:tcPr>
          <w:p w14:paraId="4300B8CA" w14:textId="77777777" w:rsidR="00D03F54" w:rsidRPr="007F6399" w:rsidRDefault="00D03F54" w:rsidP="00BA0494">
            <w:pPr>
              <w:pStyle w:val="TableParagraph"/>
              <w:spacing w:line="240" w:lineRule="auto"/>
              <w:ind w:left="119"/>
              <w:jc w:val="left"/>
              <w:rPr>
                <w:rFonts w:ascii="Cambria" w:hAnsi="Cambria"/>
              </w:rPr>
            </w:pPr>
            <w:r w:rsidRPr="007F6399">
              <w:rPr>
                <w:rFonts w:ascii="Cambria" w:hAnsi="Cambria"/>
              </w:rPr>
              <w:t>Ind. Prod.</w:t>
            </w:r>
          </w:p>
        </w:tc>
        <w:tc>
          <w:tcPr>
            <w:tcW w:w="810" w:type="dxa"/>
            <w:tcBorders>
              <w:bottom w:val="single" w:sz="8" w:space="0" w:color="000000"/>
            </w:tcBorders>
          </w:tcPr>
          <w:p w14:paraId="0DBE0503" w14:textId="77777777" w:rsidR="00D03F54" w:rsidRPr="007F6399" w:rsidRDefault="00D03F54" w:rsidP="00BA0494">
            <w:pPr>
              <w:pStyle w:val="TableParagraph"/>
              <w:spacing w:line="240" w:lineRule="auto"/>
              <w:ind w:left="96" w:right="95"/>
              <w:rPr>
                <w:rFonts w:ascii="Cambria" w:hAnsi="Cambria"/>
              </w:rPr>
            </w:pPr>
            <w:r w:rsidRPr="007F6399">
              <w:rPr>
                <w:rFonts w:ascii="Cambria" w:hAnsi="Cambria"/>
              </w:rPr>
              <w:t>0.003</w:t>
            </w:r>
          </w:p>
        </w:tc>
        <w:tc>
          <w:tcPr>
            <w:tcW w:w="1080" w:type="dxa"/>
            <w:tcBorders>
              <w:bottom w:val="single" w:sz="8" w:space="0" w:color="000000"/>
            </w:tcBorders>
          </w:tcPr>
          <w:p w14:paraId="4DD2FF95" w14:textId="77777777" w:rsidR="00D03F54" w:rsidRPr="007F6399" w:rsidRDefault="00D03F54" w:rsidP="00BA0494">
            <w:pPr>
              <w:pStyle w:val="TableParagraph"/>
              <w:spacing w:line="240" w:lineRule="auto"/>
              <w:ind w:left="99" w:right="122"/>
              <w:rPr>
                <w:rFonts w:ascii="Cambria" w:hAnsi="Cambria"/>
              </w:rPr>
            </w:pPr>
            <w:r w:rsidRPr="007F6399">
              <w:rPr>
                <w:rFonts w:ascii="Cambria" w:hAnsi="Cambria"/>
              </w:rPr>
              <w:t>0.580</w:t>
            </w:r>
          </w:p>
        </w:tc>
        <w:tc>
          <w:tcPr>
            <w:tcW w:w="981" w:type="dxa"/>
            <w:tcBorders>
              <w:bottom w:val="single" w:sz="8" w:space="0" w:color="000000"/>
            </w:tcBorders>
          </w:tcPr>
          <w:p w14:paraId="32A3D983" w14:textId="77777777" w:rsidR="00D03F54" w:rsidRPr="007F6399" w:rsidRDefault="00D03F54" w:rsidP="00BA0494">
            <w:pPr>
              <w:pStyle w:val="TableParagraph"/>
              <w:spacing w:line="240" w:lineRule="auto"/>
              <w:ind w:left="100" w:right="122"/>
              <w:rPr>
                <w:rFonts w:ascii="Cambria" w:hAnsi="Cambria"/>
              </w:rPr>
            </w:pPr>
            <w:r w:rsidRPr="007F6399">
              <w:rPr>
                <w:rFonts w:ascii="Cambria" w:hAnsi="Cambria"/>
              </w:rPr>
              <w:t>0.944</w:t>
            </w:r>
          </w:p>
        </w:tc>
        <w:tc>
          <w:tcPr>
            <w:tcW w:w="811" w:type="dxa"/>
            <w:tcBorders>
              <w:bottom w:val="single" w:sz="8" w:space="0" w:color="000000"/>
            </w:tcBorders>
          </w:tcPr>
          <w:p w14:paraId="52DC3D06" w14:textId="77777777" w:rsidR="00D03F54" w:rsidRPr="007F6399" w:rsidRDefault="00D03F54" w:rsidP="00BA0494">
            <w:pPr>
              <w:pStyle w:val="TableParagraph"/>
              <w:spacing w:line="240" w:lineRule="auto"/>
              <w:ind w:left="127" w:right="96"/>
              <w:rPr>
                <w:rFonts w:ascii="Cambria" w:hAnsi="Cambria"/>
              </w:rPr>
            </w:pPr>
            <w:r w:rsidRPr="007F6399">
              <w:rPr>
                <w:rFonts w:ascii="Cambria" w:hAnsi="Cambria"/>
              </w:rPr>
              <w:t>0.953</w:t>
            </w:r>
          </w:p>
        </w:tc>
        <w:tc>
          <w:tcPr>
            <w:tcW w:w="866" w:type="dxa"/>
            <w:tcBorders>
              <w:bottom w:val="single" w:sz="8" w:space="0" w:color="000000"/>
            </w:tcBorders>
          </w:tcPr>
          <w:p w14:paraId="661DDF20" w14:textId="77777777" w:rsidR="00D03F54" w:rsidRPr="007F6399" w:rsidRDefault="00D03F54" w:rsidP="00BA0494">
            <w:pPr>
              <w:pStyle w:val="TableParagraph"/>
              <w:spacing w:line="240" w:lineRule="auto"/>
              <w:ind w:left="203"/>
              <w:jc w:val="left"/>
              <w:rPr>
                <w:rFonts w:ascii="Cambria" w:hAnsi="Cambria"/>
              </w:rPr>
            </w:pPr>
            <w:r w:rsidRPr="007F6399">
              <w:rPr>
                <w:rFonts w:ascii="Cambria" w:hAnsi="Cambria"/>
              </w:rPr>
              <w:t>0.742</w:t>
            </w:r>
          </w:p>
        </w:tc>
        <w:tc>
          <w:tcPr>
            <w:tcW w:w="42" w:type="dxa"/>
            <w:tcBorders>
              <w:bottom w:val="single" w:sz="8" w:space="0" w:color="000000"/>
            </w:tcBorders>
          </w:tcPr>
          <w:p w14:paraId="2305C790" w14:textId="77777777" w:rsidR="00D03F54" w:rsidRPr="007F6399" w:rsidRDefault="00D03F54" w:rsidP="00BA0494">
            <w:pPr>
              <w:pStyle w:val="TableParagraph"/>
              <w:spacing w:line="240" w:lineRule="auto"/>
              <w:ind w:left="0"/>
              <w:jc w:val="left"/>
              <w:rPr>
                <w:rFonts w:ascii="Cambria" w:hAnsi="Cambria"/>
              </w:rPr>
            </w:pPr>
          </w:p>
        </w:tc>
        <w:tc>
          <w:tcPr>
            <w:tcW w:w="900" w:type="dxa"/>
            <w:tcBorders>
              <w:bottom w:val="single" w:sz="8" w:space="0" w:color="000000"/>
            </w:tcBorders>
          </w:tcPr>
          <w:p w14:paraId="2FC5993C" w14:textId="77777777" w:rsidR="00D03F54" w:rsidRPr="007F6399" w:rsidRDefault="00D03F54" w:rsidP="00BA0494">
            <w:pPr>
              <w:pStyle w:val="TableParagraph"/>
              <w:spacing w:line="240" w:lineRule="auto"/>
              <w:ind w:left="98" w:right="93"/>
              <w:rPr>
                <w:rFonts w:ascii="Cambria" w:hAnsi="Cambria"/>
              </w:rPr>
            </w:pPr>
            <w:r w:rsidRPr="007F6399">
              <w:rPr>
                <w:rFonts w:ascii="Cambria" w:hAnsi="Cambria"/>
              </w:rPr>
              <w:t>4.814</w:t>
            </w:r>
          </w:p>
        </w:tc>
        <w:tc>
          <w:tcPr>
            <w:tcW w:w="810" w:type="dxa"/>
            <w:tcBorders>
              <w:bottom w:val="single" w:sz="8" w:space="0" w:color="000000"/>
            </w:tcBorders>
          </w:tcPr>
          <w:p w14:paraId="4A9455EF" w14:textId="77777777" w:rsidR="00D03F54" w:rsidRPr="007F6399" w:rsidRDefault="00D03F54" w:rsidP="00BA0494">
            <w:pPr>
              <w:pStyle w:val="TableParagraph"/>
              <w:spacing w:line="240" w:lineRule="auto"/>
              <w:ind w:right="92"/>
              <w:rPr>
                <w:rFonts w:ascii="Cambria" w:hAnsi="Cambria"/>
              </w:rPr>
            </w:pPr>
            <w:r w:rsidRPr="007F6399">
              <w:rPr>
                <w:rFonts w:ascii="Cambria" w:hAnsi="Cambria"/>
              </w:rPr>
              <w:t>15.524</w:t>
            </w:r>
          </w:p>
        </w:tc>
        <w:tc>
          <w:tcPr>
            <w:tcW w:w="810" w:type="dxa"/>
            <w:tcBorders>
              <w:bottom w:val="single" w:sz="8" w:space="0" w:color="000000"/>
            </w:tcBorders>
          </w:tcPr>
          <w:p w14:paraId="37B18213" w14:textId="77777777" w:rsidR="00D03F54" w:rsidRPr="007F6399" w:rsidRDefault="00D03F54" w:rsidP="00BA0494">
            <w:pPr>
              <w:pStyle w:val="TableParagraph"/>
              <w:spacing w:line="240" w:lineRule="auto"/>
              <w:ind w:right="91"/>
              <w:rPr>
                <w:rFonts w:ascii="Cambria" w:hAnsi="Cambria"/>
              </w:rPr>
            </w:pPr>
            <w:r w:rsidRPr="007F6399">
              <w:rPr>
                <w:rFonts w:ascii="Cambria" w:hAnsi="Cambria"/>
              </w:rPr>
              <w:t>13.663</w:t>
            </w:r>
          </w:p>
        </w:tc>
        <w:tc>
          <w:tcPr>
            <w:tcW w:w="924" w:type="dxa"/>
            <w:tcBorders>
              <w:bottom w:val="single" w:sz="8" w:space="0" w:color="000000"/>
            </w:tcBorders>
          </w:tcPr>
          <w:p w14:paraId="2FD7DAFC" w14:textId="77777777" w:rsidR="00D03F54" w:rsidRPr="007F6399" w:rsidRDefault="00D03F54" w:rsidP="00BA0494">
            <w:pPr>
              <w:pStyle w:val="TableParagraph"/>
              <w:spacing w:line="240" w:lineRule="auto"/>
              <w:ind w:right="91"/>
              <w:rPr>
                <w:rFonts w:ascii="Cambria" w:hAnsi="Cambria"/>
              </w:rPr>
            </w:pPr>
            <w:r w:rsidRPr="007F6399">
              <w:rPr>
                <w:rFonts w:ascii="Cambria" w:hAnsi="Cambria"/>
              </w:rPr>
              <w:t>16.504</w:t>
            </w:r>
          </w:p>
        </w:tc>
        <w:tc>
          <w:tcPr>
            <w:tcW w:w="876" w:type="dxa"/>
            <w:tcBorders>
              <w:bottom w:val="single" w:sz="8" w:space="0" w:color="000000"/>
            </w:tcBorders>
          </w:tcPr>
          <w:p w14:paraId="06F8C559" w14:textId="77777777" w:rsidR="00D03F54" w:rsidRPr="007F6399" w:rsidRDefault="00D03F54" w:rsidP="00BA0494">
            <w:pPr>
              <w:pStyle w:val="TableParagraph"/>
              <w:spacing w:line="240" w:lineRule="auto"/>
              <w:ind w:right="91"/>
              <w:rPr>
                <w:rFonts w:ascii="Cambria" w:hAnsi="Cambria"/>
              </w:rPr>
            </w:pPr>
            <w:r w:rsidRPr="007F6399">
              <w:rPr>
                <w:rFonts w:ascii="Cambria" w:hAnsi="Cambria"/>
              </w:rPr>
              <w:t>13.027</w:t>
            </w:r>
          </w:p>
        </w:tc>
      </w:tr>
    </w:tbl>
    <w:p w14:paraId="54A54C6B" w14:textId="6C41874B" w:rsidR="00D03F54" w:rsidRPr="00D03F54" w:rsidRDefault="00D03F54" w:rsidP="009C6CD0">
      <w:pPr>
        <w:jc w:val="both"/>
        <w:rPr>
          <w:rFonts w:ascii="Cambria" w:hAnsi="Cambria"/>
          <w:i/>
          <w:color w:val="000000" w:themeColor="text1"/>
          <w:sz w:val="20"/>
          <w:szCs w:val="20"/>
        </w:rPr>
      </w:pPr>
      <w:r w:rsidRPr="00D03F54">
        <w:rPr>
          <w:rFonts w:ascii="Cambria" w:hAnsi="Cambria"/>
          <w:i/>
          <w:color w:val="000000" w:themeColor="text1"/>
          <w:sz w:val="20"/>
          <w:szCs w:val="20"/>
        </w:rPr>
        <w:t>Notes: Authors’ own calculations</w:t>
      </w:r>
    </w:p>
    <w:p w14:paraId="1ABDAA73" w14:textId="3EB51B3C"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The top right panel shows the contributions of the economic policy uncertainty shock.  This shock also does not explain much of the contemporaneous contribution to output or inflation.  But it has a more substantial amount of contribution at the </w:t>
      </w:r>
      <w:r w:rsidR="00E31C7E" w:rsidRPr="009C6CD0">
        <w:rPr>
          <w:rFonts w:ascii="Cambria" w:hAnsi="Cambria"/>
          <w:color w:val="000000" w:themeColor="text1"/>
          <w:sz w:val="24"/>
          <w:szCs w:val="24"/>
        </w:rPr>
        <w:t>1-year</w:t>
      </w:r>
      <w:r w:rsidRPr="009C6CD0">
        <w:rPr>
          <w:rFonts w:ascii="Cambria" w:hAnsi="Cambria"/>
          <w:color w:val="000000" w:themeColor="text1"/>
          <w:sz w:val="24"/>
          <w:szCs w:val="24"/>
        </w:rPr>
        <w:t xml:space="preserve"> horizon, explaining 4% of variation in output and 2% in inflation.  At longer horizons the effect on output is even bigger explaining close to 9% of the variation.  This shock also has relatively bigger effects on the Dollar reserves.  At the </w:t>
      </w:r>
      <w:r w:rsidR="00213F93" w:rsidRPr="009C6CD0">
        <w:rPr>
          <w:rFonts w:ascii="Cambria" w:hAnsi="Cambria"/>
          <w:color w:val="000000" w:themeColor="text1"/>
          <w:sz w:val="24"/>
          <w:szCs w:val="24"/>
        </w:rPr>
        <w:t>1-year</w:t>
      </w:r>
      <w:r w:rsidRPr="009C6CD0">
        <w:rPr>
          <w:rFonts w:ascii="Cambria" w:hAnsi="Cambria"/>
          <w:color w:val="000000" w:themeColor="text1"/>
          <w:sz w:val="24"/>
          <w:szCs w:val="24"/>
        </w:rPr>
        <w:t xml:space="preserve"> horizon it explains 10% respectively of the dollar reserves. </w:t>
      </w:r>
      <w:r w:rsidR="00213F93" w:rsidRPr="009C6CD0">
        <w:rPr>
          <w:rFonts w:ascii="Cambria" w:hAnsi="Cambria"/>
          <w:color w:val="000000" w:themeColor="text1"/>
          <w:sz w:val="24"/>
          <w:szCs w:val="24"/>
        </w:rPr>
        <w:t>Finally,</w:t>
      </w:r>
      <w:r w:rsidRPr="009C6CD0">
        <w:rPr>
          <w:rFonts w:ascii="Cambria" w:hAnsi="Cambria"/>
          <w:color w:val="000000" w:themeColor="text1"/>
          <w:sz w:val="24"/>
          <w:szCs w:val="24"/>
        </w:rPr>
        <w:t xml:space="preserve"> this shock also explains around 5% of the long-term variation in the exchange rate and stock market.</w:t>
      </w:r>
    </w:p>
    <w:p w14:paraId="7940B6CB" w14:textId="77777777" w:rsidR="00F92C83" w:rsidRPr="009C6CD0" w:rsidRDefault="00F92C83" w:rsidP="009C6CD0">
      <w:pPr>
        <w:jc w:val="both"/>
        <w:rPr>
          <w:rFonts w:ascii="Cambria" w:hAnsi="Cambria"/>
          <w:color w:val="000000" w:themeColor="text1"/>
          <w:sz w:val="24"/>
          <w:szCs w:val="24"/>
        </w:rPr>
      </w:pPr>
    </w:p>
    <w:p w14:paraId="42B192B7" w14:textId="43DB7536"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lastRenderedPageBreak/>
        <w:t>The geopolitical risk shown in the bottom left panel. Similar to the policy uncertainty shock, it has small effects on output and inflation at shorter horizons.  The peak contribution to output is less than 1%. However, this shock has a bigger effect on prices.  For inflation, the peak effect is in the long run (</w:t>
      </w:r>
      <w:r w:rsidR="00F73875" w:rsidRPr="009C6CD0">
        <w:rPr>
          <w:rFonts w:ascii="Cambria" w:hAnsi="Cambria"/>
          <w:color w:val="000000" w:themeColor="text1"/>
          <w:sz w:val="24"/>
          <w:szCs w:val="24"/>
        </w:rPr>
        <w:t>fou</w:t>
      </w:r>
      <w:r w:rsidR="00113033" w:rsidRPr="009C6CD0">
        <w:rPr>
          <w:rFonts w:ascii="Cambria" w:hAnsi="Cambria"/>
          <w:color w:val="000000" w:themeColor="text1"/>
          <w:sz w:val="24"/>
          <w:szCs w:val="24"/>
        </w:rPr>
        <w:t>r</w:t>
      </w:r>
      <w:r w:rsidRPr="009C6CD0">
        <w:rPr>
          <w:rFonts w:ascii="Cambria" w:hAnsi="Cambria"/>
          <w:color w:val="000000" w:themeColor="text1"/>
          <w:sz w:val="24"/>
          <w:szCs w:val="24"/>
        </w:rPr>
        <w:t xml:space="preserve"> year</w:t>
      </w:r>
      <w:r w:rsidR="001A7FFA" w:rsidRPr="009C6CD0">
        <w:rPr>
          <w:rFonts w:ascii="Cambria" w:hAnsi="Cambria"/>
          <w:color w:val="000000" w:themeColor="text1"/>
          <w:sz w:val="24"/>
          <w:szCs w:val="24"/>
        </w:rPr>
        <w:t>s out</w:t>
      </w:r>
      <w:r w:rsidRPr="009C6CD0">
        <w:rPr>
          <w:rFonts w:ascii="Cambria" w:hAnsi="Cambria"/>
          <w:color w:val="000000" w:themeColor="text1"/>
          <w:sz w:val="24"/>
          <w:szCs w:val="24"/>
        </w:rPr>
        <w:t xml:space="preserve">) at around 10%.  This shock also contributes significantly to the long-term variation in dollar reserves and the </w:t>
      </w:r>
      <w:r w:rsidR="004C2782" w:rsidRPr="009C6CD0">
        <w:rPr>
          <w:rFonts w:ascii="Cambria" w:hAnsi="Cambria"/>
          <w:color w:val="000000" w:themeColor="text1"/>
          <w:sz w:val="24"/>
          <w:szCs w:val="24"/>
        </w:rPr>
        <w:t>10-year</w:t>
      </w:r>
      <w:r w:rsidRPr="009C6CD0">
        <w:rPr>
          <w:rFonts w:ascii="Cambria" w:hAnsi="Cambria"/>
          <w:color w:val="000000" w:themeColor="text1"/>
          <w:sz w:val="24"/>
          <w:szCs w:val="24"/>
        </w:rPr>
        <w:t xml:space="preserve"> government bond rate, with contributions of 7% and 5% respectively.</w:t>
      </w:r>
    </w:p>
    <w:p w14:paraId="315651D2" w14:textId="77777777" w:rsidR="00F92C83" w:rsidRPr="009C6CD0" w:rsidRDefault="00F92C83" w:rsidP="009C6CD0">
      <w:pPr>
        <w:jc w:val="both"/>
        <w:rPr>
          <w:rFonts w:ascii="Cambria" w:hAnsi="Cambria"/>
          <w:color w:val="000000" w:themeColor="text1"/>
          <w:sz w:val="24"/>
          <w:szCs w:val="24"/>
        </w:rPr>
      </w:pPr>
    </w:p>
    <w:p w14:paraId="578DA8E0" w14:textId="37CBB504"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Finally, the bottom right panel shows the oil supply shock.  Here we see substantially larger effects for output, even at the short and medium horizons.  At the </w:t>
      </w:r>
      <w:r w:rsidR="004C2782" w:rsidRPr="009C6CD0">
        <w:rPr>
          <w:rFonts w:ascii="Cambria" w:hAnsi="Cambria"/>
          <w:color w:val="000000" w:themeColor="text1"/>
          <w:sz w:val="24"/>
          <w:szCs w:val="24"/>
        </w:rPr>
        <w:t>six-month</w:t>
      </w:r>
      <w:r w:rsidRPr="009C6CD0">
        <w:rPr>
          <w:rFonts w:ascii="Cambria" w:hAnsi="Cambria"/>
          <w:color w:val="000000" w:themeColor="text1"/>
          <w:sz w:val="24"/>
          <w:szCs w:val="24"/>
        </w:rPr>
        <w:t xml:space="preserve"> horizon, oil supply shocks explain 15% of the variation in output. At longer horizons the contributions remain sizeable, with 16% explained at 2 years and 13% explained at 4 years.  The effects of inflation are largest around the one to </w:t>
      </w:r>
      <w:r w:rsidR="004C2782" w:rsidRPr="009C6CD0">
        <w:rPr>
          <w:rFonts w:ascii="Cambria" w:hAnsi="Cambria"/>
          <w:color w:val="000000" w:themeColor="text1"/>
          <w:sz w:val="24"/>
          <w:szCs w:val="24"/>
        </w:rPr>
        <w:t>two-year</w:t>
      </w:r>
      <w:r w:rsidRPr="009C6CD0">
        <w:rPr>
          <w:rFonts w:ascii="Cambria" w:hAnsi="Cambria"/>
          <w:color w:val="000000" w:themeColor="text1"/>
          <w:sz w:val="24"/>
          <w:szCs w:val="24"/>
        </w:rPr>
        <w:t xml:space="preserve"> mark explaining around 5 to 7% of the variation.  The oil supply shock is also the highest contributor to the US Dollar Indian Rupee exchange rate from all the four shocks we have considered, explaining 12% of the variation at the </w:t>
      </w:r>
      <w:r w:rsidR="004C2782" w:rsidRPr="009C6CD0">
        <w:rPr>
          <w:rFonts w:ascii="Cambria" w:hAnsi="Cambria"/>
          <w:color w:val="000000" w:themeColor="text1"/>
          <w:sz w:val="24"/>
          <w:szCs w:val="24"/>
        </w:rPr>
        <w:t>two-year</w:t>
      </w:r>
      <w:r w:rsidRPr="009C6CD0">
        <w:rPr>
          <w:rFonts w:ascii="Cambria" w:hAnsi="Cambria"/>
          <w:color w:val="000000" w:themeColor="text1"/>
          <w:sz w:val="24"/>
          <w:szCs w:val="24"/>
        </w:rPr>
        <w:t xml:space="preserve"> horizon.</w:t>
      </w:r>
    </w:p>
    <w:p w14:paraId="70946D11" w14:textId="77777777" w:rsidR="00F92C83" w:rsidRPr="009C6CD0" w:rsidRDefault="00F92C83" w:rsidP="009C6CD0">
      <w:pPr>
        <w:jc w:val="both"/>
        <w:rPr>
          <w:rFonts w:ascii="Cambria" w:hAnsi="Cambria"/>
          <w:color w:val="000000" w:themeColor="text1"/>
          <w:sz w:val="24"/>
          <w:szCs w:val="24"/>
        </w:rPr>
      </w:pPr>
    </w:p>
    <w:p w14:paraId="09292143" w14:textId="2BE3C926" w:rsidR="00F92C83" w:rsidRDefault="004C2782" w:rsidP="009C6CD0">
      <w:pPr>
        <w:jc w:val="both"/>
        <w:rPr>
          <w:rFonts w:ascii="Cambria" w:hAnsi="Cambria"/>
          <w:color w:val="000000" w:themeColor="text1"/>
          <w:sz w:val="24"/>
          <w:szCs w:val="24"/>
        </w:rPr>
      </w:pPr>
      <w:r w:rsidRPr="009C6CD0">
        <w:rPr>
          <w:rFonts w:ascii="Cambria" w:hAnsi="Cambria"/>
          <w:color w:val="000000" w:themeColor="text1"/>
          <w:sz w:val="24"/>
          <w:szCs w:val="24"/>
        </w:rPr>
        <w:t>TABLE 2</w:t>
      </w:r>
      <w:r w:rsidR="00F92C83" w:rsidRPr="009C6CD0">
        <w:rPr>
          <w:rFonts w:ascii="Cambria" w:hAnsi="Cambria"/>
          <w:color w:val="000000" w:themeColor="text1"/>
          <w:sz w:val="24"/>
          <w:szCs w:val="24"/>
        </w:rPr>
        <w:t xml:space="preserve"> shows the sum of the contributions of the four shocks.  They explain around 32% of the variation in output at the </w:t>
      </w:r>
      <w:r w:rsidR="00A253FE" w:rsidRPr="009C6CD0">
        <w:rPr>
          <w:rFonts w:ascii="Cambria" w:hAnsi="Cambria"/>
          <w:color w:val="000000" w:themeColor="text1"/>
          <w:sz w:val="24"/>
          <w:szCs w:val="24"/>
        </w:rPr>
        <w:t>1-year</w:t>
      </w:r>
      <w:r w:rsidR="00F92C83" w:rsidRPr="009C6CD0">
        <w:rPr>
          <w:rFonts w:ascii="Cambria" w:hAnsi="Cambria"/>
          <w:color w:val="000000" w:themeColor="text1"/>
          <w:sz w:val="24"/>
          <w:szCs w:val="24"/>
        </w:rPr>
        <w:t xml:space="preserve"> horizon and over 34% of the variation at the </w:t>
      </w:r>
      <w:r w:rsidR="0077421C" w:rsidRPr="009C6CD0">
        <w:rPr>
          <w:rFonts w:ascii="Cambria" w:hAnsi="Cambria"/>
          <w:color w:val="000000" w:themeColor="text1"/>
          <w:sz w:val="24"/>
          <w:szCs w:val="24"/>
        </w:rPr>
        <w:t>4-year</w:t>
      </w:r>
      <w:r w:rsidR="00F92C83" w:rsidRPr="009C6CD0">
        <w:rPr>
          <w:rFonts w:ascii="Cambria" w:hAnsi="Cambria"/>
          <w:color w:val="000000" w:themeColor="text1"/>
          <w:sz w:val="24"/>
          <w:szCs w:val="24"/>
        </w:rPr>
        <w:t xml:space="preserve"> horizon.  For inflation, these numbers are lower at 20% at the </w:t>
      </w:r>
      <w:r w:rsidR="00A253FE" w:rsidRPr="009C6CD0">
        <w:rPr>
          <w:rFonts w:ascii="Cambria" w:hAnsi="Cambria"/>
          <w:color w:val="000000" w:themeColor="text1"/>
          <w:sz w:val="24"/>
          <w:szCs w:val="24"/>
        </w:rPr>
        <w:t>1-year</w:t>
      </w:r>
      <w:r w:rsidR="00F92C83" w:rsidRPr="009C6CD0">
        <w:rPr>
          <w:rFonts w:ascii="Cambria" w:hAnsi="Cambria"/>
          <w:color w:val="000000" w:themeColor="text1"/>
          <w:sz w:val="24"/>
          <w:szCs w:val="24"/>
        </w:rPr>
        <w:t xml:space="preserve"> horizon and 2</w:t>
      </w:r>
      <w:r w:rsidR="008B4BE3" w:rsidRPr="009C6CD0">
        <w:rPr>
          <w:rFonts w:ascii="Cambria" w:hAnsi="Cambria"/>
          <w:color w:val="000000" w:themeColor="text1"/>
          <w:sz w:val="24"/>
          <w:szCs w:val="24"/>
        </w:rPr>
        <w:t>-</w:t>
      </w:r>
      <w:r w:rsidR="00F92C83" w:rsidRPr="009C6CD0">
        <w:rPr>
          <w:rFonts w:ascii="Cambria" w:hAnsi="Cambria"/>
          <w:color w:val="000000" w:themeColor="text1"/>
          <w:sz w:val="24"/>
          <w:szCs w:val="24"/>
        </w:rPr>
        <w:t>year horizon.  In the long-run the four shocks combine to explain close to 20% of the financial market variables as well.  The overall picture emerges that these four shocks form a substantial component of the variation in output and inflation for the Indian economy, especially the monetary policy and oil prices shocks.</w:t>
      </w:r>
    </w:p>
    <w:p w14:paraId="5CA88374" w14:textId="27A08A13" w:rsidR="00AA34BE" w:rsidRPr="00AA34BE" w:rsidRDefault="00AA34BE" w:rsidP="009C6CD0">
      <w:pPr>
        <w:jc w:val="both"/>
        <w:rPr>
          <w:rFonts w:ascii="Cambria" w:hAnsi="Cambria"/>
          <w:color w:val="000000" w:themeColor="text1"/>
        </w:rPr>
      </w:pPr>
      <w:r w:rsidRPr="00AA34BE">
        <w:rPr>
          <w:rFonts w:ascii="Cambria" w:hAnsi="Cambria"/>
          <w:color w:val="000000" w:themeColor="text1"/>
        </w:rPr>
        <w:t xml:space="preserve">TABLE 2: </w:t>
      </w:r>
      <w:r w:rsidRPr="00AA34BE">
        <w:rPr>
          <w:rFonts w:ascii="Cambria" w:hAnsi="Cambria"/>
        </w:rPr>
        <w:t>Sum of contribution of four shocks to the forecast error variance</w:t>
      </w:r>
    </w:p>
    <w:tbl>
      <w:tblPr>
        <w:tblW w:w="0" w:type="auto"/>
        <w:tblInd w:w="1801" w:type="dxa"/>
        <w:tblLayout w:type="fixed"/>
        <w:tblCellMar>
          <w:left w:w="0" w:type="dxa"/>
          <w:right w:w="0" w:type="dxa"/>
        </w:tblCellMar>
        <w:tblLook w:val="01E0" w:firstRow="1" w:lastRow="1" w:firstColumn="1" w:lastColumn="1" w:noHBand="0" w:noVBand="0"/>
      </w:tblPr>
      <w:tblGrid>
        <w:gridCol w:w="1769"/>
        <w:gridCol w:w="777"/>
        <w:gridCol w:w="897"/>
        <w:gridCol w:w="897"/>
        <w:gridCol w:w="897"/>
        <w:gridCol w:w="897"/>
      </w:tblGrid>
      <w:tr w:rsidR="00AA34BE" w:rsidRPr="00FE106C" w14:paraId="55396A6D" w14:textId="77777777" w:rsidTr="00BA0494">
        <w:trPr>
          <w:trHeight w:val="394"/>
        </w:trPr>
        <w:tc>
          <w:tcPr>
            <w:tcW w:w="1769" w:type="dxa"/>
            <w:tcBorders>
              <w:top w:val="single" w:sz="8" w:space="0" w:color="000000"/>
            </w:tcBorders>
          </w:tcPr>
          <w:p w14:paraId="74D60366" w14:textId="77777777" w:rsidR="00AA34BE" w:rsidRPr="00FE106C" w:rsidRDefault="00AA34BE" w:rsidP="00BA0494">
            <w:pPr>
              <w:pStyle w:val="TableParagraph"/>
              <w:spacing w:line="240" w:lineRule="auto"/>
              <w:ind w:left="0"/>
              <w:jc w:val="left"/>
              <w:rPr>
                <w:rFonts w:ascii="Cambria" w:hAnsi="Cambria"/>
              </w:rPr>
            </w:pPr>
          </w:p>
        </w:tc>
        <w:tc>
          <w:tcPr>
            <w:tcW w:w="777" w:type="dxa"/>
            <w:tcBorders>
              <w:top w:val="single" w:sz="8" w:space="0" w:color="000000"/>
              <w:bottom w:val="single" w:sz="4" w:space="0" w:color="000000"/>
            </w:tcBorders>
          </w:tcPr>
          <w:p w14:paraId="514D5C96" w14:textId="77777777" w:rsidR="00AA34BE" w:rsidRPr="00FE106C" w:rsidRDefault="00AA34BE" w:rsidP="00BA0494">
            <w:pPr>
              <w:pStyle w:val="TableParagraph"/>
              <w:spacing w:before="44" w:line="240" w:lineRule="auto"/>
              <w:ind w:left="0"/>
              <w:rPr>
                <w:rFonts w:ascii="Cambria" w:hAnsi="Cambria"/>
              </w:rPr>
            </w:pPr>
            <w:r w:rsidRPr="00FE106C">
              <w:rPr>
                <w:rFonts w:ascii="Cambria" w:hAnsi="Cambria"/>
                <w:w w:val="99"/>
              </w:rPr>
              <w:t>1</w:t>
            </w:r>
          </w:p>
        </w:tc>
        <w:tc>
          <w:tcPr>
            <w:tcW w:w="897" w:type="dxa"/>
            <w:tcBorders>
              <w:top w:val="single" w:sz="8" w:space="0" w:color="000000"/>
              <w:bottom w:val="single" w:sz="4" w:space="0" w:color="000000"/>
            </w:tcBorders>
          </w:tcPr>
          <w:p w14:paraId="1FE5BC23" w14:textId="77777777" w:rsidR="00AA34BE" w:rsidRPr="00FE106C" w:rsidRDefault="00AA34BE" w:rsidP="00BA0494">
            <w:pPr>
              <w:pStyle w:val="TableParagraph"/>
              <w:spacing w:before="44" w:line="240" w:lineRule="auto"/>
              <w:ind w:left="0"/>
              <w:rPr>
                <w:rFonts w:ascii="Cambria" w:hAnsi="Cambria"/>
              </w:rPr>
            </w:pPr>
            <w:r w:rsidRPr="00FE106C">
              <w:rPr>
                <w:rFonts w:ascii="Cambria" w:hAnsi="Cambria"/>
                <w:w w:val="99"/>
              </w:rPr>
              <w:t>6</w:t>
            </w:r>
          </w:p>
        </w:tc>
        <w:tc>
          <w:tcPr>
            <w:tcW w:w="897" w:type="dxa"/>
            <w:tcBorders>
              <w:top w:val="single" w:sz="8" w:space="0" w:color="000000"/>
              <w:bottom w:val="single" w:sz="4" w:space="0" w:color="000000"/>
            </w:tcBorders>
          </w:tcPr>
          <w:p w14:paraId="4B6F55CB" w14:textId="77777777" w:rsidR="00AA34BE" w:rsidRPr="00FE106C" w:rsidRDefault="00AA34BE" w:rsidP="00BA0494">
            <w:pPr>
              <w:pStyle w:val="TableParagraph"/>
              <w:spacing w:before="44" w:line="240" w:lineRule="auto"/>
              <w:ind w:left="98" w:right="98"/>
              <w:rPr>
                <w:rFonts w:ascii="Cambria" w:hAnsi="Cambria"/>
              </w:rPr>
            </w:pPr>
            <w:r w:rsidRPr="00FE106C">
              <w:rPr>
                <w:rFonts w:ascii="Cambria" w:hAnsi="Cambria"/>
              </w:rPr>
              <w:t>12</w:t>
            </w:r>
          </w:p>
        </w:tc>
        <w:tc>
          <w:tcPr>
            <w:tcW w:w="897" w:type="dxa"/>
            <w:tcBorders>
              <w:top w:val="single" w:sz="8" w:space="0" w:color="000000"/>
              <w:bottom w:val="single" w:sz="4" w:space="0" w:color="000000"/>
            </w:tcBorders>
          </w:tcPr>
          <w:p w14:paraId="093B26BD" w14:textId="77777777" w:rsidR="00AA34BE" w:rsidRPr="00FE106C" w:rsidRDefault="00AA34BE" w:rsidP="00BA0494">
            <w:pPr>
              <w:pStyle w:val="TableParagraph"/>
              <w:spacing w:before="44" w:line="240" w:lineRule="auto"/>
              <w:ind w:left="98" w:right="98"/>
              <w:rPr>
                <w:rFonts w:ascii="Cambria" w:hAnsi="Cambria"/>
              </w:rPr>
            </w:pPr>
            <w:r w:rsidRPr="00FE106C">
              <w:rPr>
                <w:rFonts w:ascii="Cambria" w:hAnsi="Cambria"/>
              </w:rPr>
              <w:t>24</w:t>
            </w:r>
          </w:p>
        </w:tc>
        <w:tc>
          <w:tcPr>
            <w:tcW w:w="897" w:type="dxa"/>
            <w:tcBorders>
              <w:top w:val="single" w:sz="8" w:space="0" w:color="000000"/>
              <w:bottom w:val="single" w:sz="4" w:space="0" w:color="000000"/>
            </w:tcBorders>
          </w:tcPr>
          <w:p w14:paraId="3D49D9E8" w14:textId="77777777" w:rsidR="00AA34BE" w:rsidRPr="00FE106C" w:rsidRDefault="00AA34BE" w:rsidP="00BA0494">
            <w:pPr>
              <w:pStyle w:val="TableParagraph"/>
              <w:spacing w:before="44" w:line="240" w:lineRule="auto"/>
              <w:ind w:right="98"/>
              <w:rPr>
                <w:rFonts w:ascii="Cambria" w:hAnsi="Cambria"/>
              </w:rPr>
            </w:pPr>
            <w:r w:rsidRPr="00FE106C">
              <w:rPr>
                <w:rFonts w:ascii="Cambria" w:hAnsi="Cambria"/>
              </w:rPr>
              <w:t>48</w:t>
            </w:r>
          </w:p>
        </w:tc>
      </w:tr>
      <w:tr w:rsidR="00AA34BE" w:rsidRPr="00FE106C" w14:paraId="1592D4DF" w14:textId="77777777" w:rsidTr="00BA0494">
        <w:trPr>
          <w:trHeight w:val="335"/>
        </w:trPr>
        <w:tc>
          <w:tcPr>
            <w:tcW w:w="1769" w:type="dxa"/>
          </w:tcPr>
          <w:p w14:paraId="16B4CCF0" w14:textId="77777777" w:rsidR="00AA34BE" w:rsidRPr="00FE106C" w:rsidRDefault="00AA34BE" w:rsidP="00BA0494">
            <w:pPr>
              <w:pStyle w:val="TableParagraph"/>
              <w:spacing w:before="43" w:line="272" w:lineRule="exact"/>
              <w:ind w:left="119"/>
              <w:jc w:val="left"/>
              <w:rPr>
                <w:rFonts w:ascii="Cambria" w:hAnsi="Cambria"/>
              </w:rPr>
            </w:pPr>
            <w:r w:rsidRPr="00FE106C">
              <w:rPr>
                <w:rFonts w:ascii="Cambria" w:hAnsi="Cambria"/>
              </w:rPr>
              <w:t>Stock market</w:t>
            </w:r>
          </w:p>
        </w:tc>
        <w:tc>
          <w:tcPr>
            <w:tcW w:w="777" w:type="dxa"/>
            <w:tcBorders>
              <w:top w:val="single" w:sz="4" w:space="0" w:color="000000"/>
            </w:tcBorders>
          </w:tcPr>
          <w:p w14:paraId="3126D7E6" w14:textId="77777777" w:rsidR="00AA34BE" w:rsidRPr="00FE106C" w:rsidRDefault="00AA34BE" w:rsidP="00BA0494">
            <w:pPr>
              <w:pStyle w:val="TableParagraph"/>
              <w:spacing w:before="43" w:line="272" w:lineRule="exact"/>
              <w:ind w:left="98" w:right="98"/>
              <w:rPr>
                <w:rFonts w:ascii="Cambria" w:hAnsi="Cambria"/>
              </w:rPr>
            </w:pPr>
            <w:r w:rsidRPr="00FE106C">
              <w:rPr>
                <w:rFonts w:ascii="Cambria" w:hAnsi="Cambria"/>
              </w:rPr>
              <w:t>7.507</w:t>
            </w:r>
          </w:p>
        </w:tc>
        <w:tc>
          <w:tcPr>
            <w:tcW w:w="897" w:type="dxa"/>
            <w:tcBorders>
              <w:top w:val="single" w:sz="4" w:space="0" w:color="000000"/>
            </w:tcBorders>
          </w:tcPr>
          <w:p w14:paraId="3A355BAF" w14:textId="77777777" w:rsidR="00AA34BE" w:rsidRPr="00FE106C" w:rsidRDefault="00AA34BE" w:rsidP="00BA0494">
            <w:pPr>
              <w:pStyle w:val="TableParagraph"/>
              <w:spacing w:before="43" w:line="272" w:lineRule="exact"/>
              <w:ind w:left="98" w:right="98"/>
              <w:rPr>
                <w:rFonts w:ascii="Cambria" w:hAnsi="Cambria"/>
              </w:rPr>
            </w:pPr>
            <w:r w:rsidRPr="00FE106C">
              <w:rPr>
                <w:rFonts w:ascii="Cambria" w:hAnsi="Cambria"/>
              </w:rPr>
              <w:t>13.592</w:t>
            </w:r>
          </w:p>
        </w:tc>
        <w:tc>
          <w:tcPr>
            <w:tcW w:w="897" w:type="dxa"/>
            <w:tcBorders>
              <w:top w:val="single" w:sz="4" w:space="0" w:color="000000"/>
            </w:tcBorders>
          </w:tcPr>
          <w:p w14:paraId="2C0B2D34" w14:textId="77777777" w:rsidR="00AA34BE" w:rsidRPr="00FE106C" w:rsidRDefault="00AA34BE" w:rsidP="00BA0494">
            <w:pPr>
              <w:pStyle w:val="TableParagraph"/>
              <w:spacing w:before="43" w:line="272" w:lineRule="exact"/>
              <w:ind w:left="98" w:right="98"/>
              <w:rPr>
                <w:rFonts w:ascii="Cambria" w:hAnsi="Cambria"/>
              </w:rPr>
            </w:pPr>
            <w:r w:rsidRPr="00FE106C">
              <w:rPr>
                <w:rFonts w:ascii="Cambria" w:hAnsi="Cambria"/>
              </w:rPr>
              <w:t>24.179</w:t>
            </w:r>
          </w:p>
        </w:tc>
        <w:tc>
          <w:tcPr>
            <w:tcW w:w="897" w:type="dxa"/>
            <w:tcBorders>
              <w:top w:val="single" w:sz="4" w:space="0" w:color="000000"/>
            </w:tcBorders>
          </w:tcPr>
          <w:p w14:paraId="43D1FB8F" w14:textId="77777777" w:rsidR="00AA34BE" w:rsidRPr="00FE106C" w:rsidRDefault="00AA34BE" w:rsidP="00BA0494">
            <w:pPr>
              <w:pStyle w:val="TableParagraph"/>
              <w:spacing w:before="43" w:line="272" w:lineRule="exact"/>
              <w:ind w:left="98" w:right="98"/>
              <w:rPr>
                <w:rFonts w:ascii="Cambria" w:hAnsi="Cambria"/>
              </w:rPr>
            </w:pPr>
            <w:r w:rsidRPr="00FE106C">
              <w:rPr>
                <w:rFonts w:ascii="Cambria" w:hAnsi="Cambria"/>
              </w:rPr>
              <w:t>23.955</w:t>
            </w:r>
          </w:p>
        </w:tc>
        <w:tc>
          <w:tcPr>
            <w:tcW w:w="897" w:type="dxa"/>
            <w:tcBorders>
              <w:top w:val="single" w:sz="4" w:space="0" w:color="000000"/>
            </w:tcBorders>
          </w:tcPr>
          <w:p w14:paraId="69AC645B" w14:textId="77777777" w:rsidR="00AA34BE" w:rsidRPr="00FE106C" w:rsidRDefault="00AA34BE" w:rsidP="00BA0494">
            <w:pPr>
              <w:pStyle w:val="TableParagraph"/>
              <w:spacing w:before="43" w:line="272" w:lineRule="exact"/>
              <w:ind w:right="98"/>
              <w:rPr>
                <w:rFonts w:ascii="Cambria" w:hAnsi="Cambria"/>
              </w:rPr>
            </w:pPr>
            <w:r w:rsidRPr="00FE106C">
              <w:rPr>
                <w:rFonts w:ascii="Cambria" w:hAnsi="Cambria"/>
              </w:rPr>
              <w:t>23.236</w:t>
            </w:r>
          </w:p>
        </w:tc>
      </w:tr>
      <w:tr w:rsidR="00AA34BE" w:rsidRPr="00FE106C" w14:paraId="40B11733" w14:textId="77777777" w:rsidTr="00BA0494">
        <w:trPr>
          <w:trHeight w:val="288"/>
        </w:trPr>
        <w:tc>
          <w:tcPr>
            <w:tcW w:w="1769" w:type="dxa"/>
          </w:tcPr>
          <w:p w14:paraId="3CFD325F" w14:textId="77777777" w:rsidR="00AA34BE" w:rsidRPr="00FE106C" w:rsidRDefault="00AA34BE" w:rsidP="00BA0494">
            <w:pPr>
              <w:pStyle w:val="TableParagraph"/>
              <w:spacing w:line="269" w:lineRule="exact"/>
              <w:ind w:left="119"/>
              <w:jc w:val="left"/>
              <w:rPr>
                <w:rFonts w:ascii="Cambria" w:hAnsi="Cambria"/>
              </w:rPr>
            </w:pPr>
            <w:r w:rsidRPr="00FE106C">
              <w:rPr>
                <w:rFonts w:ascii="Cambria" w:hAnsi="Cambria"/>
              </w:rPr>
              <w:t>USD/INR</w:t>
            </w:r>
          </w:p>
        </w:tc>
        <w:tc>
          <w:tcPr>
            <w:tcW w:w="777" w:type="dxa"/>
          </w:tcPr>
          <w:p w14:paraId="58824BAA"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3.977</w:t>
            </w:r>
          </w:p>
        </w:tc>
        <w:tc>
          <w:tcPr>
            <w:tcW w:w="897" w:type="dxa"/>
          </w:tcPr>
          <w:p w14:paraId="199D9AD7"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12.435</w:t>
            </w:r>
          </w:p>
        </w:tc>
        <w:tc>
          <w:tcPr>
            <w:tcW w:w="897" w:type="dxa"/>
          </w:tcPr>
          <w:p w14:paraId="4E49FB07"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13.170</w:t>
            </w:r>
          </w:p>
        </w:tc>
        <w:tc>
          <w:tcPr>
            <w:tcW w:w="897" w:type="dxa"/>
          </w:tcPr>
          <w:p w14:paraId="07301BFB"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17.412</w:t>
            </w:r>
          </w:p>
        </w:tc>
        <w:tc>
          <w:tcPr>
            <w:tcW w:w="897" w:type="dxa"/>
          </w:tcPr>
          <w:p w14:paraId="5BAE16E4" w14:textId="77777777" w:rsidR="00AA34BE" w:rsidRPr="00FE106C" w:rsidRDefault="00AA34BE" w:rsidP="00BA0494">
            <w:pPr>
              <w:pStyle w:val="TableParagraph"/>
              <w:spacing w:line="269" w:lineRule="exact"/>
              <w:ind w:right="98"/>
              <w:rPr>
                <w:rFonts w:ascii="Cambria" w:hAnsi="Cambria"/>
              </w:rPr>
            </w:pPr>
            <w:r w:rsidRPr="00FE106C">
              <w:rPr>
                <w:rFonts w:ascii="Cambria" w:hAnsi="Cambria"/>
              </w:rPr>
              <w:t>18.721</w:t>
            </w:r>
          </w:p>
        </w:tc>
      </w:tr>
      <w:tr w:rsidR="00AA34BE" w:rsidRPr="00FE106C" w14:paraId="578F3F70" w14:textId="77777777" w:rsidTr="00BA0494">
        <w:trPr>
          <w:trHeight w:val="288"/>
        </w:trPr>
        <w:tc>
          <w:tcPr>
            <w:tcW w:w="1769" w:type="dxa"/>
          </w:tcPr>
          <w:p w14:paraId="64D3C85B" w14:textId="22A8B224" w:rsidR="00AA34BE" w:rsidRPr="00FE106C" w:rsidRDefault="00AA34BE" w:rsidP="00BA0494">
            <w:pPr>
              <w:pStyle w:val="TableParagraph"/>
              <w:spacing w:line="269" w:lineRule="exact"/>
              <w:ind w:left="119"/>
              <w:jc w:val="left"/>
              <w:rPr>
                <w:rFonts w:ascii="Cambria" w:hAnsi="Cambria"/>
              </w:rPr>
            </w:pPr>
            <w:proofErr w:type="gramStart"/>
            <w:r w:rsidRPr="00FE106C">
              <w:rPr>
                <w:rFonts w:ascii="Cambria" w:hAnsi="Cambria"/>
              </w:rPr>
              <w:t>10 y</w:t>
            </w:r>
            <w:r w:rsidR="0024291C" w:rsidRPr="00FE106C">
              <w:rPr>
                <w:rFonts w:ascii="Cambria" w:hAnsi="Cambria"/>
              </w:rPr>
              <w:t>ea</w:t>
            </w:r>
            <w:r w:rsidRPr="00FE106C">
              <w:rPr>
                <w:rFonts w:ascii="Cambria" w:hAnsi="Cambria"/>
              </w:rPr>
              <w:t>r</w:t>
            </w:r>
            <w:proofErr w:type="gramEnd"/>
            <w:r w:rsidRPr="00FE106C">
              <w:rPr>
                <w:rFonts w:ascii="Cambria" w:hAnsi="Cambria"/>
              </w:rPr>
              <w:t xml:space="preserve"> bond</w:t>
            </w:r>
          </w:p>
        </w:tc>
        <w:tc>
          <w:tcPr>
            <w:tcW w:w="777" w:type="dxa"/>
          </w:tcPr>
          <w:p w14:paraId="2BBA3A2E"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6.154</w:t>
            </w:r>
          </w:p>
        </w:tc>
        <w:tc>
          <w:tcPr>
            <w:tcW w:w="897" w:type="dxa"/>
          </w:tcPr>
          <w:p w14:paraId="2256B880"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14.292</w:t>
            </w:r>
          </w:p>
        </w:tc>
        <w:tc>
          <w:tcPr>
            <w:tcW w:w="897" w:type="dxa"/>
          </w:tcPr>
          <w:p w14:paraId="73F0CC68"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20.509</w:t>
            </w:r>
          </w:p>
        </w:tc>
        <w:tc>
          <w:tcPr>
            <w:tcW w:w="897" w:type="dxa"/>
          </w:tcPr>
          <w:p w14:paraId="77DE9DAD"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19.667</w:t>
            </w:r>
          </w:p>
        </w:tc>
        <w:tc>
          <w:tcPr>
            <w:tcW w:w="897" w:type="dxa"/>
          </w:tcPr>
          <w:p w14:paraId="3253E544" w14:textId="77777777" w:rsidR="00AA34BE" w:rsidRPr="00FE106C" w:rsidRDefault="00AA34BE" w:rsidP="00BA0494">
            <w:pPr>
              <w:pStyle w:val="TableParagraph"/>
              <w:spacing w:line="269" w:lineRule="exact"/>
              <w:ind w:right="98"/>
              <w:rPr>
                <w:rFonts w:ascii="Cambria" w:hAnsi="Cambria"/>
              </w:rPr>
            </w:pPr>
            <w:r w:rsidRPr="00FE106C">
              <w:rPr>
                <w:rFonts w:ascii="Cambria" w:hAnsi="Cambria"/>
              </w:rPr>
              <w:t>19.372</w:t>
            </w:r>
          </w:p>
        </w:tc>
      </w:tr>
      <w:tr w:rsidR="00AA34BE" w:rsidRPr="00FE106C" w14:paraId="03BF14D0" w14:textId="77777777" w:rsidTr="00BA0494">
        <w:trPr>
          <w:trHeight w:val="288"/>
        </w:trPr>
        <w:tc>
          <w:tcPr>
            <w:tcW w:w="1769" w:type="dxa"/>
          </w:tcPr>
          <w:p w14:paraId="2D818E72" w14:textId="77777777" w:rsidR="00AA34BE" w:rsidRPr="00FE106C" w:rsidRDefault="00AA34BE" w:rsidP="00BA0494">
            <w:pPr>
              <w:pStyle w:val="TableParagraph"/>
              <w:spacing w:line="269" w:lineRule="exact"/>
              <w:ind w:left="119"/>
              <w:jc w:val="left"/>
              <w:rPr>
                <w:rFonts w:ascii="Cambria" w:hAnsi="Cambria"/>
              </w:rPr>
            </w:pPr>
            <w:r w:rsidRPr="00FE106C">
              <w:rPr>
                <w:rFonts w:ascii="Cambria" w:hAnsi="Cambria"/>
              </w:rPr>
              <w:t>Dollar Reserves</w:t>
            </w:r>
          </w:p>
        </w:tc>
        <w:tc>
          <w:tcPr>
            <w:tcW w:w="777" w:type="dxa"/>
          </w:tcPr>
          <w:p w14:paraId="5E426E53"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4.066</w:t>
            </w:r>
          </w:p>
        </w:tc>
        <w:tc>
          <w:tcPr>
            <w:tcW w:w="897" w:type="dxa"/>
          </w:tcPr>
          <w:p w14:paraId="358F47DC"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7.272</w:t>
            </w:r>
          </w:p>
        </w:tc>
        <w:tc>
          <w:tcPr>
            <w:tcW w:w="897" w:type="dxa"/>
          </w:tcPr>
          <w:p w14:paraId="54C4975D"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22.659</w:t>
            </w:r>
          </w:p>
        </w:tc>
        <w:tc>
          <w:tcPr>
            <w:tcW w:w="897" w:type="dxa"/>
          </w:tcPr>
          <w:p w14:paraId="14EFBFD3"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24.681</w:t>
            </w:r>
          </w:p>
        </w:tc>
        <w:tc>
          <w:tcPr>
            <w:tcW w:w="897" w:type="dxa"/>
          </w:tcPr>
          <w:p w14:paraId="4C9ED0DA" w14:textId="77777777" w:rsidR="00AA34BE" w:rsidRPr="00FE106C" w:rsidRDefault="00AA34BE" w:rsidP="00BA0494">
            <w:pPr>
              <w:pStyle w:val="TableParagraph"/>
              <w:spacing w:line="269" w:lineRule="exact"/>
              <w:ind w:right="98"/>
              <w:rPr>
                <w:rFonts w:ascii="Cambria" w:hAnsi="Cambria"/>
              </w:rPr>
            </w:pPr>
            <w:r w:rsidRPr="00FE106C">
              <w:rPr>
                <w:rFonts w:ascii="Cambria" w:hAnsi="Cambria"/>
              </w:rPr>
              <w:t>20.891</w:t>
            </w:r>
          </w:p>
        </w:tc>
      </w:tr>
      <w:tr w:rsidR="00AA34BE" w:rsidRPr="00FE106C" w14:paraId="37B7F794" w14:textId="77777777" w:rsidTr="00BA0494">
        <w:trPr>
          <w:trHeight w:val="288"/>
        </w:trPr>
        <w:tc>
          <w:tcPr>
            <w:tcW w:w="1769" w:type="dxa"/>
          </w:tcPr>
          <w:p w14:paraId="548E2C54" w14:textId="77777777" w:rsidR="00AA34BE" w:rsidRPr="00FE106C" w:rsidRDefault="00AA34BE" w:rsidP="00BA0494">
            <w:pPr>
              <w:pStyle w:val="TableParagraph"/>
              <w:spacing w:line="269" w:lineRule="exact"/>
              <w:ind w:left="119"/>
              <w:jc w:val="left"/>
              <w:rPr>
                <w:rFonts w:ascii="Cambria" w:hAnsi="Cambria"/>
              </w:rPr>
            </w:pPr>
            <w:r w:rsidRPr="00FE106C">
              <w:rPr>
                <w:rFonts w:ascii="Cambria" w:hAnsi="Cambria"/>
              </w:rPr>
              <w:t>Inflation</w:t>
            </w:r>
          </w:p>
        </w:tc>
        <w:tc>
          <w:tcPr>
            <w:tcW w:w="777" w:type="dxa"/>
          </w:tcPr>
          <w:p w14:paraId="6D477844"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2.763</w:t>
            </w:r>
          </w:p>
        </w:tc>
        <w:tc>
          <w:tcPr>
            <w:tcW w:w="897" w:type="dxa"/>
          </w:tcPr>
          <w:p w14:paraId="69DDBC2A"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8.600</w:t>
            </w:r>
          </w:p>
        </w:tc>
        <w:tc>
          <w:tcPr>
            <w:tcW w:w="897" w:type="dxa"/>
          </w:tcPr>
          <w:p w14:paraId="7A889403"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20.094</w:t>
            </w:r>
          </w:p>
        </w:tc>
        <w:tc>
          <w:tcPr>
            <w:tcW w:w="897" w:type="dxa"/>
          </w:tcPr>
          <w:p w14:paraId="64A3217C"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20.011</w:t>
            </w:r>
          </w:p>
        </w:tc>
        <w:tc>
          <w:tcPr>
            <w:tcW w:w="897" w:type="dxa"/>
          </w:tcPr>
          <w:p w14:paraId="61488F8D" w14:textId="77777777" w:rsidR="00AA34BE" w:rsidRPr="00FE106C" w:rsidRDefault="00AA34BE" w:rsidP="00BA0494">
            <w:pPr>
              <w:pStyle w:val="TableParagraph"/>
              <w:spacing w:line="269" w:lineRule="exact"/>
              <w:ind w:right="98"/>
              <w:rPr>
                <w:rFonts w:ascii="Cambria" w:hAnsi="Cambria"/>
              </w:rPr>
            </w:pPr>
            <w:r w:rsidRPr="00FE106C">
              <w:rPr>
                <w:rFonts w:ascii="Cambria" w:hAnsi="Cambria"/>
              </w:rPr>
              <w:t>19.869</w:t>
            </w:r>
          </w:p>
        </w:tc>
      </w:tr>
      <w:tr w:rsidR="00AA34BE" w:rsidRPr="00FE106C" w14:paraId="41B56A63" w14:textId="77777777" w:rsidTr="00BA0494">
        <w:trPr>
          <w:trHeight w:val="288"/>
        </w:trPr>
        <w:tc>
          <w:tcPr>
            <w:tcW w:w="1769" w:type="dxa"/>
          </w:tcPr>
          <w:p w14:paraId="27A1BD10" w14:textId="77777777" w:rsidR="00AA34BE" w:rsidRPr="00FE106C" w:rsidRDefault="00AA34BE" w:rsidP="00BA0494">
            <w:pPr>
              <w:pStyle w:val="TableParagraph"/>
              <w:spacing w:line="269" w:lineRule="exact"/>
              <w:ind w:left="119"/>
              <w:jc w:val="left"/>
              <w:rPr>
                <w:rFonts w:ascii="Cambria" w:hAnsi="Cambria"/>
              </w:rPr>
            </w:pPr>
            <w:r w:rsidRPr="00FE106C">
              <w:rPr>
                <w:rFonts w:ascii="Cambria" w:hAnsi="Cambria"/>
              </w:rPr>
              <w:t>Ind. Prod.</w:t>
            </w:r>
          </w:p>
        </w:tc>
        <w:tc>
          <w:tcPr>
            <w:tcW w:w="777" w:type="dxa"/>
          </w:tcPr>
          <w:p w14:paraId="02DECF8E"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6.636</w:t>
            </w:r>
          </w:p>
        </w:tc>
        <w:tc>
          <w:tcPr>
            <w:tcW w:w="897" w:type="dxa"/>
          </w:tcPr>
          <w:p w14:paraId="38CD2BAA"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19.370</w:t>
            </w:r>
          </w:p>
        </w:tc>
        <w:tc>
          <w:tcPr>
            <w:tcW w:w="897" w:type="dxa"/>
          </w:tcPr>
          <w:p w14:paraId="3210F1A0"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32.553</w:t>
            </w:r>
          </w:p>
        </w:tc>
        <w:tc>
          <w:tcPr>
            <w:tcW w:w="897" w:type="dxa"/>
          </w:tcPr>
          <w:p w14:paraId="4F1261F0" w14:textId="77777777" w:rsidR="00AA34BE" w:rsidRPr="00FE106C" w:rsidRDefault="00AA34BE" w:rsidP="00BA0494">
            <w:pPr>
              <w:pStyle w:val="TableParagraph"/>
              <w:spacing w:line="269" w:lineRule="exact"/>
              <w:ind w:left="98" w:right="98"/>
              <w:rPr>
                <w:rFonts w:ascii="Cambria" w:hAnsi="Cambria"/>
              </w:rPr>
            </w:pPr>
            <w:r w:rsidRPr="00FE106C">
              <w:rPr>
                <w:rFonts w:ascii="Cambria" w:hAnsi="Cambria"/>
              </w:rPr>
              <w:t>36.340</w:t>
            </w:r>
          </w:p>
        </w:tc>
        <w:tc>
          <w:tcPr>
            <w:tcW w:w="897" w:type="dxa"/>
          </w:tcPr>
          <w:p w14:paraId="0F4413B9" w14:textId="77777777" w:rsidR="00AA34BE" w:rsidRPr="00FE106C" w:rsidRDefault="00AA34BE" w:rsidP="00BA0494">
            <w:pPr>
              <w:pStyle w:val="TableParagraph"/>
              <w:spacing w:line="269" w:lineRule="exact"/>
              <w:ind w:right="98"/>
              <w:rPr>
                <w:rFonts w:ascii="Cambria" w:hAnsi="Cambria"/>
              </w:rPr>
            </w:pPr>
            <w:r w:rsidRPr="00FE106C">
              <w:rPr>
                <w:rFonts w:ascii="Cambria" w:hAnsi="Cambria"/>
              </w:rPr>
              <w:t>34.983</w:t>
            </w:r>
          </w:p>
        </w:tc>
      </w:tr>
    </w:tbl>
    <w:p w14:paraId="633C313F" w14:textId="77777777" w:rsidR="00AA34BE" w:rsidRPr="00D03F54" w:rsidRDefault="00AA34BE" w:rsidP="00AA34BE">
      <w:pPr>
        <w:jc w:val="both"/>
        <w:rPr>
          <w:rFonts w:ascii="Cambria" w:hAnsi="Cambria"/>
          <w:i/>
          <w:color w:val="000000" w:themeColor="text1"/>
          <w:sz w:val="20"/>
          <w:szCs w:val="20"/>
        </w:rPr>
      </w:pPr>
      <w:r w:rsidRPr="00D03F54">
        <w:rPr>
          <w:rFonts w:ascii="Cambria" w:hAnsi="Cambria"/>
          <w:i/>
          <w:color w:val="000000" w:themeColor="text1"/>
          <w:sz w:val="20"/>
          <w:szCs w:val="20"/>
        </w:rPr>
        <w:t>Notes: Authors’ own calculations</w:t>
      </w:r>
    </w:p>
    <w:p w14:paraId="09EDB307" w14:textId="44D56CDC" w:rsidR="00F92C83" w:rsidRPr="009C6CD0" w:rsidRDefault="00F92C83" w:rsidP="009C6CD0">
      <w:pPr>
        <w:jc w:val="both"/>
        <w:rPr>
          <w:rFonts w:ascii="Cambria" w:hAnsi="Cambria"/>
          <w:color w:val="000000" w:themeColor="text1"/>
          <w:sz w:val="24"/>
          <w:szCs w:val="24"/>
        </w:rPr>
      </w:pPr>
    </w:p>
    <w:p w14:paraId="7EF9C30B" w14:textId="10806E19"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We think that these numbers should be interpreted as representing an upper bound of the effects of these shocks.  As mentioned earlier, we also ran our SVAR and LP estimation by using the IIP gap and year-over-year inflation rate, rather than the log-level specification presented in the baseline results. When we redo the variance decomposition calculations using the </w:t>
      </w:r>
      <w:r w:rsidR="001A3718" w:rsidRPr="009C6CD0">
        <w:rPr>
          <w:rFonts w:ascii="Cambria" w:hAnsi="Cambria"/>
          <w:color w:val="000000" w:themeColor="text1"/>
          <w:sz w:val="24"/>
          <w:szCs w:val="24"/>
        </w:rPr>
        <w:t>“</w:t>
      </w:r>
      <w:r w:rsidRPr="009C6CD0">
        <w:rPr>
          <w:rFonts w:ascii="Cambria" w:hAnsi="Cambria"/>
          <w:color w:val="000000" w:themeColor="text1"/>
          <w:sz w:val="24"/>
          <w:szCs w:val="24"/>
        </w:rPr>
        <w:t>gap</w:t>
      </w:r>
      <w:r w:rsidR="001A3718" w:rsidRPr="009C6CD0">
        <w:rPr>
          <w:rFonts w:ascii="Cambria" w:hAnsi="Cambria"/>
          <w:color w:val="000000" w:themeColor="text1"/>
          <w:sz w:val="24"/>
          <w:szCs w:val="24"/>
        </w:rPr>
        <w:t>”</w:t>
      </w:r>
      <w:r w:rsidRPr="009C6CD0">
        <w:rPr>
          <w:rFonts w:ascii="Cambria" w:hAnsi="Cambria"/>
          <w:color w:val="000000" w:themeColor="text1"/>
          <w:sz w:val="24"/>
          <w:szCs w:val="24"/>
        </w:rPr>
        <w:t xml:space="preserve"> specification for the macro variables we find that the contribution of the </w:t>
      </w:r>
      <w:r w:rsidRPr="009C6CD0">
        <w:rPr>
          <w:rFonts w:ascii="Cambria" w:hAnsi="Cambria"/>
          <w:color w:val="000000" w:themeColor="text1"/>
          <w:sz w:val="24"/>
          <w:szCs w:val="24"/>
        </w:rPr>
        <w:lastRenderedPageBreak/>
        <w:t xml:space="preserve">shocks is somewhat diminished.  This is especially true for output.  The total contribution to industrial production from the four shocks drops to 16% at the </w:t>
      </w:r>
      <w:r w:rsidR="001A3718" w:rsidRPr="009C6CD0">
        <w:rPr>
          <w:rFonts w:ascii="Cambria" w:hAnsi="Cambria"/>
          <w:color w:val="000000" w:themeColor="text1"/>
          <w:sz w:val="24"/>
          <w:szCs w:val="24"/>
        </w:rPr>
        <w:t>1-year</w:t>
      </w:r>
      <w:r w:rsidRPr="009C6CD0">
        <w:rPr>
          <w:rFonts w:ascii="Cambria" w:hAnsi="Cambria"/>
          <w:color w:val="000000" w:themeColor="text1"/>
          <w:sz w:val="24"/>
          <w:szCs w:val="24"/>
        </w:rPr>
        <w:t xml:space="preserve"> horizon and 18% at the </w:t>
      </w:r>
      <w:r w:rsidR="0003177B" w:rsidRPr="009C6CD0">
        <w:rPr>
          <w:rFonts w:ascii="Cambria" w:hAnsi="Cambria"/>
          <w:color w:val="000000" w:themeColor="text1"/>
          <w:sz w:val="24"/>
          <w:szCs w:val="24"/>
        </w:rPr>
        <w:t>four-year</w:t>
      </w:r>
      <w:r w:rsidRPr="009C6CD0">
        <w:rPr>
          <w:rFonts w:ascii="Cambria" w:hAnsi="Cambria"/>
          <w:color w:val="000000" w:themeColor="text1"/>
          <w:sz w:val="24"/>
          <w:szCs w:val="24"/>
        </w:rPr>
        <w:t xml:space="preserve"> horizon.  While still sizeable, these numbers are definitively smaller than the 35% range for the baseline specification.  The reduction in the contribution comes primarily from the monetary policy and oil supply shock.</w:t>
      </w:r>
    </w:p>
    <w:p w14:paraId="7E2A5FA0" w14:textId="0ADF4BD3"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Further, there are two more qualifiers that we should mention with this analysis.  First, the usual disclaimer about omitted variable bias about vector auto-regressions applies here. In other words, if there are important variables that we are missing then the variance decompositions numbers have the potential to be overstated.  We address this concern in the online appendix and show that our results are similar when we include a variety of other Indian macro variables. Second, this analysis looks at the net aggregate effects of these foreign shocks. If there are distributional effects of these shocks, it is possible that those effects cancel out and we are missing important transmission mechanisms. While we do not undertake this disaggregated analysis, we believe it to be a promising area for future research.</w:t>
      </w:r>
    </w:p>
    <w:p w14:paraId="336CA01D" w14:textId="694756CB" w:rsidR="00F92C83" w:rsidRPr="009C6CD0" w:rsidRDefault="00F92C83" w:rsidP="009C6CD0">
      <w:pPr>
        <w:jc w:val="both"/>
        <w:rPr>
          <w:rFonts w:ascii="Cambria" w:hAnsi="Cambria"/>
          <w:color w:val="000000" w:themeColor="text1"/>
          <w:sz w:val="24"/>
          <w:szCs w:val="24"/>
        </w:rPr>
      </w:pPr>
    </w:p>
    <w:p w14:paraId="2B291756" w14:textId="5A846403" w:rsidR="00F92C83" w:rsidRPr="00AB27ED" w:rsidRDefault="00D84AEA" w:rsidP="009C6CD0">
      <w:pPr>
        <w:jc w:val="both"/>
        <w:rPr>
          <w:rFonts w:ascii="Cambria" w:hAnsi="Cambria"/>
          <w:b/>
          <w:bCs/>
          <w:color w:val="000000" w:themeColor="text1"/>
          <w:sz w:val="28"/>
          <w:szCs w:val="28"/>
        </w:rPr>
      </w:pPr>
      <w:r w:rsidRPr="00AB27ED">
        <w:rPr>
          <w:rFonts w:ascii="Cambria" w:hAnsi="Cambria"/>
          <w:b/>
          <w:bCs/>
          <w:color w:val="000000" w:themeColor="text1"/>
          <w:sz w:val="28"/>
          <w:szCs w:val="28"/>
        </w:rPr>
        <w:t xml:space="preserve">5. </w:t>
      </w:r>
      <w:r w:rsidR="00F92C83" w:rsidRPr="00AB27ED">
        <w:rPr>
          <w:rFonts w:ascii="Cambria" w:hAnsi="Cambria"/>
          <w:b/>
          <w:bCs/>
          <w:color w:val="000000" w:themeColor="text1"/>
          <w:sz w:val="28"/>
          <w:szCs w:val="28"/>
        </w:rPr>
        <w:t>Conclusion</w:t>
      </w:r>
    </w:p>
    <w:p w14:paraId="064416FC" w14:textId="0FEF7EB4"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Recently there have been increasing concerns about the resilience of the Indian economy to international developments.  This paper is an attempt to understand the quantitative relevance of foreign shocks for the Indian economy and to shed some light on the transmission mechanisms.</w:t>
      </w:r>
    </w:p>
    <w:p w14:paraId="7D327D30" w14:textId="10C11E7E" w:rsidR="00F92C83" w:rsidRPr="009C6CD0" w:rsidRDefault="00F92C83" w:rsidP="009C6CD0">
      <w:pPr>
        <w:jc w:val="both"/>
        <w:rPr>
          <w:rFonts w:ascii="Cambria" w:hAnsi="Cambria"/>
          <w:color w:val="000000" w:themeColor="text1"/>
          <w:sz w:val="24"/>
          <w:szCs w:val="24"/>
        </w:rPr>
      </w:pPr>
      <w:r w:rsidRPr="009C6CD0">
        <w:rPr>
          <w:rFonts w:ascii="Cambria" w:hAnsi="Cambria"/>
          <w:color w:val="000000" w:themeColor="text1"/>
          <w:sz w:val="24"/>
          <w:szCs w:val="24"/>
        </w:rPr>
        <w:t xml:space="preserve">Our analysis finds substantial effects of </w:t>
      </w:r>
      <w:r w:rsidR="00457654">
        <w:rPr>
          <w:rFonts w:ascii="Cambria" w:hAnsi="Cambria"/>
          <w:color w:val="000000" w:themeColor="text1"/>
          <w:sz w:val="24"/>
          <w:szCs w:val="24"/>
        </w:rPr>
        <w:t xml:space="preserve">three main </w:t>
      </w:r>
      <w:r w:rsidRPr="009C6CD0">
        <w:rPr>
          <w:rFonts w:ascii="Cambria" w:hAnsi="Cambria"/>
          <w:color w:val="000000" w:themeColor="text1"/>
          <w:sz w:val="24"/>
          <w:szCs w:val="24"/>
        </w:rPr>
        <w:t>foreign shocks to the macroeconomy</w:t>
      </w:r>
      <w:r w:rsidR="00457654">
        <w:rPr>
          <w:rFonts w:ascii="Cambria" w:hAnsi="Cambria"/>
          <w:color w:val="000000" w:themeColor="text1"/>
          <w:sz w:val="24"/>
          <w:szCs w:val="24"/>
        </w:rPr>
        <w:t>: US monetary policy, economic policy uncertainty and oil shock.</w:t>
      </w:r>
      <w:r w:rsidRPr="009C6CD0">
        <w:rPr>
          <w:rFonts w:ascii="Cambria" w:hAnsi="Cambria"/>
          <w:color w:val="000000" w:themeColor="text1"/>
          <w:sz w:val="24"/>
          <w:szCs w:val="24"/>
        </w:rPr>
        <w:t xml:space="preserve"> </w:t>
      </w:r>
      <w:r w:rsidR="00457654">
        <w:rPr>
          <w:rFonts w:ascii="Cambria" w:hAnsi="Cambria"/>
          <w:color w:val="000000" w:themeColor="text1"/>
          <w:sz w:val="24"/>
          <w:szCs w:val="24"/>
        </w:rPr>
        <w:t xml:space="preserve"> We do not find a major role of geopolitical risk shocks. </w:t>
      </w:r>
      <w:r w:rsidRPr="009C6CD0">
        <w:rPr>
          <w:rFonts w:ascii="Cambria" w:hAnsi="Cambria"/>
          <w:color w:val="000000" w:themeColor="text1"/>
          <w:sz w:val="24"/>
          <w:szCs w:val="24"/>
        </w:rPr>
        <w:t xml:space="preserve">The spillovers associated with US monetary policy as well as increase in global economic uncertainty have quantitatively significant bearings on Indian financial markets consistent with the global financial cycle narrative. </w:t>
      </w:r>
      <w:r w:rsidR="00457654">
        <w:rPr>
          <w:rFonts w:ascii="Cambria" w:hAnsi="Cambria"/>
          <w:color w:val="000000" w:themeColor="text1"/>
          <w:sz w:val="24"/>
          <w:szCs w:val="24"/>
        </w:rPr>
        <w:t xml:space="preserve"> The effects of these shocks are </w:t>
      </w:r>
      <w:proofErr w:type="gramStart"/>
      <w:r w:rsidR="00457654">
        <w:rPr>
          <w:rFonts w:ascii="Cambria" w:hAnsi="Cambria"/>
          <w:color w:val="000000" w:themeColor="text1"/>
          <w:sz w:val="24"/>
          <w:szCs w:val="24"/>
        </w:rPr>
        <w:t>similar to</w:t>
      </w:r>
      <w:proofErr w:type="gramEnd"/>
      <w:r w:rsidR="00457654">
        <w:rPr>
          <w:rFonts w:ascii="Cambria" w:hAnsi="Cambria"/>
          <w:color w:val="000000" w:themeColor="text1"/>
          <w:sz w:val="24"/>
          <w:szCs w:val="24"/>
        </w:rPr>
        <w:t xml:space="preserve"> what we would expect with domestic demand shocks.  On the other hand, o</w:t>
      </w:r>
      <w:r w:rsidRPr="009C6CD0">
        <w:rPr>
          <w:rFonts w:ascii="Cambria" w:hAnsi="Cambria"/>
          <w:color w:val="000000" w:themeColor="text1"/>
          <w:sz w:val="24"/>
          <w:szCs w:val="24"/>
        </w:rPr>
        <w:t>il shocks act as textbook adverse supply shocks. After an adverse supply shock, there is a simultaneous drop in output and an increase in prices and this effect is persistent. The shock also causes a general worsening of financial conditions with a reduction in total reserves, depreciation of the rupee and a fall in stock prices. Among the external shocks considered, consumer price inflation is largely driven by the uncertainty shocks and the oil supply shocks.</w:t>
      </w:r>
    </w:p>
    <w:p w14:paraId="444CF2BE" w14:textId="4B02DA74" w:rsidR="00F92C83" w:rsidRPr="009C6CD0" w:rsidRDefault="00457654" w:rsidP="009C6CD0">
      <w:pPr>
        <w:jc w:val="both"/>
        <w:rPr>
          <w:rFonts w:ascii="Cambria" w:hAnsi="Cambria"/>
          <w:color w:val="000000" w:themeColor="text1"/>
          <w:sz w:val="24"/>
          <w:szCs w:val="24"/>
        </w:rPr>
      </w:pPr>
      <w:r>
        <w:rPr>
          <w:rFonts w:ascii="Cambria" w:hAnsi="Cambria"/>
          <w:color w:val="000000" w:themeColor="text1"/>
          <w:sz w:val="24"/>
          <w:szCs w:val="24"/>
        </w:rPr>
        <w:t xml:space="preserve">These four shocks combined can explain up to 35% of the variation in Indian output at business </w:t>
      </w:r>
      <w:r w:rsidR="003B138E">
        <w:rPr>
          <w:rFonts w:ascii="Cambria" w:hAnsi="Cambria"/>
          <w:color w:val="000000" w:themeColor="text1"/>
          <w:sz w:val="24"/>
          <w:szCs w:val="24"/>
        </w:rPr>
        <w:t xml:space="preserve">cycle frequencies. </w:t>
      </w:r>
      <w:r>
        <w:rPr>
          <w:rFonts w:ascii="Cambria" w:hAnsi="Cambria"/>
          <w:color w:val="000000" w:themeColor="text1"/>
          <w:sz w:val="24"/>
          <w:szCs w:val="24"/>
        </w:rPr>
        <w:t>Thus, while the</w:t>
      </w:r>
      <w:r w:rsidR="00F92C83" w:rsidRPr="009C6CD0">
        <w:rPr>
          <w:rFonts w:ascii="Cambria" w:hAnsi="Cambria"/>
          <w:color w:val="000000" w:themeColor="text1"/>
          <w:sz w:val="24"/>
          <w:szCs w:val="24"/>
        </w:rPr>
        <w:t xml:space="preserve"> </w:t>
      </w:r>
      <w:r w:rsidR="003B138E">
        <w:rPr>
          <w:rFonts w:ascii="Cambria" w:hAnsi="Cambria"/>
          <w:color w:val="000000" w:themeColor="text1"/>
          <w:sz w:val="24"/>
          <w:szCs w:val="24"/>
        </w:rPr>
        <w:t>size</w:t>
      </w:r>
      <w:r w:rsidR="00F92C83" w:rsidRPr="009C6CD0">
        <w:rPr>
          <w:rFonts w:ascii="Cambria" w:hAnsi="Cambria"/>
          <w:color w:val="000000" w:themeColor="text1"/>
          <w:sz w:val="24"/>
          <w:szCs w:val="24"/>
        </w:rPr>
        <w:t xml:space="preserve"> of the effect</w:t>
      </w:r>
      <w:r w:rsidR="003B138E">
        <w:rPr>
          <w:rFonts w:ascii="Cambria" w:hAnsi="Cambria"/>
          <w:color w:val="000000" w:themeColor="text1"/>
          <w:sz w:val="24"/>
          <w:szCs w:val="24"/>
        </w:rPr>
        <w:t xml:space="preserve"> is</w:t>
      </w:r>
      <w:r>
        <w:rPr>
          <w:rFonts w:ascii="Cambria" w:hAnsi="Cambria"/>
          <w:color w:val="000000" w:themeColor="text1"/>
          <w:sz w:val="24"/>
          <w:szCs w:val="24"/>
        </w:rPr>
        <w:t xml:space="preserve"> substantial, the response of </w:t>
      </w:r>
      <w:r w:rsidR="00F92C83" w:rsidRPr="009C6CD0">
        <w:rPr>
          <w:rFonts w:ascii="Cambria" w:hAnsi="Cambria"/>
          <w:color w:val="000000" w:themeColor="text1"/>
          <w:sz w:val="24"/>
          <w:szCs w:val="24"/>
        </w:rPr>
        <w:t>India</w:t>
      </w:r>
      <w:r>
        <w:rPr>
          <w:rFonts w:ascii="Cambria" w:hAnsi="Cambria"/>
          <w:color w:val="000000" w:themeColor="text1"/>
          <w:sz w:val="24"/>
          <w:szCs w:val="24"/>
        </w:rPr>
        <w:t xml:space="preserve">n output </w:t>
      </w:r>
      <w:r w:rsidR="00F92C83" w:rsidRPr="009C6CD0">
        <w:rPr>
          <w:rFonts w:ascii="Cambria" w:hAnsi="Cambria"/>
          <w:color w:val="000000" w:themeColor="text1"/>
          <w:sz w:val="24"/>
          <w:szCs w:val="24"/>
        </w:rPr>
        <w:t xml:space="preserve">is </w:t>
      </w:r>
      <w:r>
        <w:rPr>
          <w:rFonts w:ascii="Cambria" w:hAnsi="Cambria"/>
          <w:color w:val="000000" w:themeColor="text1"/>
          <w:sz w:val="24"/>
          <w:szCs w:val="24"/>
        </w:rPr>
        <w:t>lower relative</w:t>
      </w:r>
      <w:r w:rsidR="00F92C83" w:rsidRPr="009C6CD0">
        <w:rPr>
          <w:rFonts w:ascii="Cambria" w:hAnsi="Cambria"/>
          <w:color w:val="000000" w:themeColor="text1"/>
          <w:sz w:val="24"/>
          <w:szCs w:val="24"/>
        </w:rPr>
        <w:t xml:space="preserve"> to the response</w:t>
      </w:r>
      <w:r>
        <w:rPr>
          <w:rFonts w:ascii="Cambria" w:hAnsi="Cambria"/>
          <w:color w:val="000000" w:themeColor="text1"/>
          <w:sz w:val="24"/>
          <w:szCs w:val="24"/>
        </w:rPr>
        <w:t xml:space="preserve"> of an index </w:t>
      </w:r>
      <w:r w:rsidR="00F92C83" w:rsidRPr="009C6CD0">
        <w:rPr>
          <w:rFonts w:ascii="Cambria" w:hAnsi="Cambria"/>
          <w:color w:val="000000" w:themeColor="text1"/>
          <w:sz w:val="24"/>
          <w:szCs w:val="24"/>
        </w:rPr>
        <w:t xml:space="preserve">of world </w:t>
      </w:r>
      <w:r w:rsidR="003B138E">
        <w:rPr>
          <w:rFonts w:ascii="Cambria" w:hAnsi="Cambria"/>
          <w:color w:val="000000" w:themeColor="text1"/>
          <w:sz w:val="24"/>
          <w:szCs w:val="24"/>
        </w:rPr>
        <w:t xml:space="preserve">output </w:t>
      </w:r>
      <w:proofErr w:type="gramStart"/>
      <w:r w:rsidR="003B138E">
        <w:rPr>
          <w:rFonts w:ascii="Cambria" w:hAnsi="Cambria"/>
          <w:color w:val="000000" w:themeColor="text1"/>
          <w:sz w:val="24"/>
          <w:szCs w:val="24"/>
        </w:rPr>
        <w:t>and also</w:t>
      </w:r>
      <w:proofErr w:type="gramEnd"/>
      <w:r w:rsidR="003B138E">
        <w:rPr>
          <w:rFonts w:ascii="Cambria" w:hAnsi="Cambria"/>
          <w:color w:val="000000" w:themeColor="text1"/>
          <w:sz w:val="24"/>
          <w:szCs w:val="24"/>
        </w:rPr>
        <w:t xml:space="preserve"> lower relative to </w:t>
      </w:r>
      <w:r w:rsidR="004417DB">
        <w:rPr>
          <w:rFonts w:ascii="Cambria" w:hAnsi="Cambria"/>
          <w:color w:val="000000" w:themeColor="text1"/>
          <w:sz w:val="24"/>
          <w:szCs w:val="24"/>
        </w:rPr>
        <w:t xml:space="preserve">output of </w:t>
      </w:r>
      <w:r w:rsidR="003B138E">
        <w:rPr>
          <w:rFonts w:ascii="Cambria" w:hAnsi="Cambria"/>
          <w:color w:val="000000" w:themeColor="text1"/>
          <w:sz w:val="24"/>
          <w:szCs w:val="24"/>
        </w:rPr>
        <w:t xml:space="preserve">peer developing countries.  </w:t>
      </w:r>
      <w:r w:rsidR="00F92C83" w:rsidRPr="009C6CD0">
        <w:rPr>
          <w:rFonts w:ascii="Cambria" w:hAnsi="Cambria"/>
          <w:color w:val="000000" w:themeColor="text1"/>
          <w:sz w:val="24"/>
          <w:szCs w:val="24"/>
        </w:rPr>
        <w:t xml:space="preserve"> </w:t>
      </w:r>
      <w:r w:rsidR="003B138E">
        <w:rPr>
          <w:rFonts w:ascii="Cambria" w:hAnsi="Cambria"/>
          <w:color w:val="000000" w:themeColor="text1"/>
          <w:sz w:val="24"/>
          <w:szCs w:val="24"/>
        </w:rPr>
        <w:t xml:space="preserve">This suggests that Indian economy is relatively more resilient to international shocks.  However, this </w:t>
      </w:r>
      <w:r w:rsidR="0008149F">
        <w:rPr>
          <w:rFonts w:ascii="Cambria" w:hAnsi="Cambria"/>
          <w:color w:val="000000" w:themeColor="text1"/>
          <w:sz w:val="24"/>
          <w:szCs w:val="24"/>
        </w:rPr>
        <w:t xml:space="preserve">resilience </w:t>
      </w:r>
      <w:r w:rsidR="00E51454">
        <w:rPr>
          <w:rFonts w:ascii="Cambria" w:hAnsi="Cambria"/>
          <w:color w:val="000000" w:themeColor="text1"/>
          <w:sz w:val="24"/>
          <w:szCs w:val="24"/>
        </w:rPr>
        <w:t xml:space="preserve">potentially </w:t>
      </w:r>
      <w:r w:rsidR="0008149F" w:rsidRPr="009C6CD0">
        <w:rPr>
          <w:rFonts w:ascii="Cambria" w:hAnsi="Cambria"/>
          <w:color w:val="000000" w:themeColor="text1"/>
          <w:sz w:val="24"/>
          <w:szCs w:val="24"/>
        </w:rPr>
        <w:t>comes</w:t>
      </w:r>
      <w:r w:rsidR="0008149F">
        <w:rPr>
          <w:rFonts w:ascii="Cambria" w:hAnsi="Cambria"/>
          <w:color w:val="000000" w:themeColor="text1"/>
          <w:sz w:val="24"/>
          <w:szCs w:val="24"/>
        </w:rPr>
        <w:t xml:space="preserve"> at the cost of India not reaping the gains from beneficial global shocks.  Our results also </w:t>
      </w:r>
      <w:r w:rsidR="0008149F">
        <w:rPr>
          <w:rFonts w:ascii="Cambria" w:hAnsi="Cambria"/>
          <w:color w:val="000000" w:themeColor="text1"/>
          <w:sz w:val="24"/>
          <w:szCs w:val="24"/>
        </w:rPr>
        <w:lastRenderedPageBreak/>
        <w:t xml:space="preserve">highlight an important </w:t>
      </w:r>
      <w:r w:rsidR="00F92C83" w:rsidRPr="009C6CD0">
        <w:rPr>
          <w:rFonts w:ascii="Cambria" w:hAnsi="Cambria"/>
          <w:color w:val="000000" w:themeColor="text1"/>
          <w:sz w:val="24"/>
          <w:szCs w:val="24"/>
        </w:rPr>
        <w:t xml:space="preserve">implication about counter-cyclical policy responses to stabilize the business cycle. In response to adverse foreign shocks, which cause disruption in the financial markets and lower economic activity, the </w:t>
      </w:r>
      <w:r w:rsidR="0008149F">
        <w:rPr>
          <w:rFonts w:ascii="Cambria" w:hAnsi="Cambria"/>
          <w:color w:val="000000" w:themeColor="text1"/>
          <w:sz w:val="24"/>
          <w:szCs w:val="24"/>
        </w:rPr>
        <w:t xml:space="preserve">main tool of </w:t>
      </w:r>
      <w:r w:rsidR="00F92C83" w:rsidRPr="009C6CD0">
        <w:rPr>
          <w:rFonts w:ascii="Cambria" w:hAnsi="Cambria"/>
          <w:color w:val="000000" w:themeColor="text1"/>
          <w:sz w:val="24"/>
          <w:szCs w:val="24"/>
        </w:rPr>
        <w:t>monetary policy makers would be to lower interest rates to help the economy recover. While the government bond rate tends to decline</w:t>
      </w:r>
      <w:r w:rsidR="0008149F">
        <w:rPr>
          <w:rFonts w:ascii="Cambria" w:hAnsi="Cambria"/>
          <w:color w:val="000000" w:themeColor="text1"/>
          <w:sz w:val="24"/>
          <w:szCs w:val="24"/>
        </w:rPr>
        <w:t xml:space="preserve"> in response to these shocks</w:t>
      </w:r>
      <w:r w:rsidR="00F92C83" w:rsidRPr="009C6CD0">
        <w:rPr>
          <w:rFonts w:ascii="Cambria" w:hAnsi="Cambria"/>
          <w:color w:val="000000" w:themeColor="text1"/>
          <w:sz w:val="24"/>
          <w:szCs w:val="24"/>
        </w:rPr>
        <w:t xml:space="preserve">, the magnitude of the fall is </w:t>
      </w:r>
      <w:r>
        <w:rPr>
          <w:rFonts w:ascii="Cambria" w:hAnsi="Cambria"/>
          <w:color w:val="000000" w:themeColor="text1"/>
          <w:sz w:val="24"/>
          <w:szCs w:val="24"/>
        </w:rPr>
        <w:t>modest</w:t>
      </w:r>
      <w:r w:rsidR="00F92C83" w:rsidRPr="009C6CD0">
        <w:rPr>
          <w:rFonts w:ascii="Cambria" w:hAnsi="Cambria"/>
          <w:color w:val="000000" w:themeColor="text1"/>
          <w:sz w:val="24"/>
          <w:szCs w:val="24"/>
        </w:rPr>
        <w:t>. Given that the foreign shocks are quantitatively relevant, our analysis suggests that quantifying the role of counter-cyclical policy should be an important agenda for further research.</w:t>
      </w:r>
    </w:p>
    <w:p w14:paraId="70D996EA" w14:textId="54415EBF" w:rsidR="00F92C83" w:rsidRDefault="00F92C83" w:rsidP="009C6CD0">
      <w:pPr>
        <w:jc w:val="both"/>
        <w:rPr>
          <w:rFonts w:ascii="Cambria" w:hAnsi="Cambria"/>
          <w:sz w:val="24"/>
          <w:szCs w:val="24"/>
        </w:rPr>
      </w:pPr>
      <w:r w:rsidRPr="009C6CD0">
        <w:rPr>
          <w:rFonts w:ascii="Cambria" w:hAnsi="Cambria"/>
          <w:color w:val="000000" w:themeColor="text1"/>
          <w:sz w:val="24"/>
          <w:szCs w:val="24"/>
        </w:rPr>
        <w:t>We conclude with an important caveat. Our analysis provides insights for the transmission of four key foreign shocks. Since our aim is to use the instrumental variables strategy to guide our analysis, we were limited in the choice of instruments available and hence the nature of foreign shocks that we could investigate. We believe</w:t>
      </w:r>
      <w:r w:rsidR="004417DB">
        <w:rPr>
          <w:rFonts w:ascii="Cambria" w:hAnsi="Cambria"/>
          <w:color w:val="000000" w:themeColor="text1"/>
          <w:sz w:val="24"/>
          <w:szCs w:val="24"/>
        </w:rPr>
        <w:t>,</w:t>
      </w:r>
      <w:r w:rsidRPr="009C6CD0">
        <w:rPr>
          <w:rFonts w:ascii="Cambria" w:hAnsi="Cambria"/>
          <w:color w:val="000000" w:themeColor="text1"/>
          <w:sz w:val="24"/>
          <w:szCs w:val="24"/>
        </w:rPr>
        <w:t xml:space="preserve"> </w:t>
      </w:r>
      <w:r w:rsidR="004417DB">
        <w:rPr>
          <w:rFonts w:ascii="Cambria" w:hAnsi="Cambria"/>
          <w:color w:val="000000" w:themeColor="text1"/>
          <w:sz w:val="24"/>
          <w:szCs w:val="24"/>
        </w:rPr>
        <w:t>and</w:t>
      </w:r>
      <w:r w:rsidRPr="009C6CD0">
        <w:rPr>
          <w:rFonts w:ascii="Cambria" w:hAnsi="Cambria"/>
          <w:color w:val="000000" w:themeColor="text1"/>
          <w:sz w:val="24"/>
          <w:szCs w:val="24"/>
        </w:rPr>
        <w:t xml:space="preserve"> have hopefully convinced the reader</w:t>
      </w:r>
      <w:r w:rsidR="004417DB">
        <w:rPr>
          <w:rFonts w:ascii="Cambria" w:hAnsi="Cambria"/>
          <w:color w:val="000000" w:themeColor="text1"/>
          <w:sz w:val="24"/>
          <w:szCs w:val="24"/>
        </w:rPr>
        <w:t>,</w:t>
      </w:r>
      <w:r w:rsidRPr="009C6CD0">
        <w:rPr>
          <w:rFonts w:ascii="Cambria" w:hAnsi="Cambria"/>
          <w:color w:val="000000" w:themeColor="text1"/>
          <w:sz w:val="24"/>
          <w:szCs w:val="24"/>
        </w:rPr>
        <w:t xml:space="preserve"> that these are quantitatively relevant shocks. Yet there are important transmission mechanisms particularly through the banking system, variations in foreign currency denominated debt-issuances by private sector, and trade linkages that have not been explored here. We leave it to future research to bring more data and novel econometric techniques that can guide us in understanding the resilience of the Indian macroeconomy</w:t>
      </w:r>
      <w:r w:rsidRPr="0077421C">
        <w:rPr>
          <w:rFonts w:ascii="Cambria" w:hAnsi="Cambria"/>
          <w:sz w:val="24"/>
          <w:szCs w:val="24"/>
        </w:rPr>
        <w:t>.</w:t>
      </w:r>
    </w:p>
    <w:p w14:paraId="3CECB4B6" w14:textId="5FDD84B4" w:rsidR="002C1D0A" w:rsidRDefault="002C1D0A" w:rsidP="009C6CD0">
      <w:pPr>
        <w:jc w:val="both"/>
        <w:rPr>
          <w:rFonts w:ascii="Cambria" w:hAnsi="Cambria"/>
          <w:sz w:val="24"/>
          <w:szCs w:val="24"/>
        </w:rPr>
      </w:pPr>
    </w:p>
    <w:p w14:paraId="5038DE62" w14:textId="17168A31" w:rsidR="002C1D0A" w:rsidRDefault="002C1D0A" w:rsidP="009C6CD0">
      <w:pPr>
        <w:jc w:val="both"/>
        <w:rPr>
          <w:rFonts w:ascii="Cambria" w:hAnsi="Cambria"/>
          <w:b/>
          <w:sz w:val="28"/>
          <w:szCs w:val="28"/>
        </w:rPr>
      </w:pPr>
      <w:r w:rsidRPr="002C1D0A">
        <w:rPr>
          <w:rFonts w:ascii="Cambria" w:hAnsi="Cambria"/>
          <w:b/>
          <w:sz w:val="28"/>
          <w:szCs w:val="28"/>
        </w:rPr>
        <w:t>6. References</w:t>
      </w:r>
    </w:p>
    <w:p w14:paraId="7ED56B69" w14:textId="6D810605" w:rsidR="007612C4" w:rsidRPr="00EB5116" w:rsidRDefault="007612C4" w:rsidP="007612C4">
      <w:pPr>
        <w:pStyle w:val="NormalWeb"/>
        <w:rPr>
          <w:rFonts w:ascii="Cambria" w:hAnsi="Cambria"/>
          <w:sz w:val="22"/>
          <w:szCs w:val="22"/>
        </w:rPr>
      </w:pPr>
      <w:r w:rsidRPr="00EB5116">
        <w:rPr>
          <w:rFonts w:ascii="Cambria" w:hAnsi="Cambria"/>
          <w:sz w:val="22"/>
          <w:szCs w:val="22"/>
        </w:rPr>
        <w:t>Baker, S. R., Bloom, N. &amp; Davis, S. J. 2016</w:t>
      </w:r>
      <w:r w:rsidR="00C21AE3" w:rsidRPr="00EB5116">
        <w:rPr>
          <w:rFonts w:ascii="Cambria" w:hAnsi="Cambria"/>
          <w:sz w:val="22"/>
          <w:szCs w:val="22"/>
        </w:rPr>
        <w:t>.</w:t>
      </w:r>
      <w:r w:rsidRPr="00EB5116">
        <w:rPr>
          <w:rFonts w:ascii="Cambria" w:hAnsi="Cambria"/>
          <w:sz w:val="22"/>
          <w:szCs w:val="22"/>
        </w:rPr>
        <w:t xml:space="preserve"> </w:t>
      </w:r>
      <w:r w:rsidR="009C6279" w:rsidRPr="00EB5116">
        <w:rPr>
          <w:rFonts w:ascii="Cambria" w:hAnsi="Cambria"/>
          <w:sz w:val="22"/>
          <w:szCs w:val="22"/>
        </w:rPr>
        <w:t>“</w:t>
      </w:r>
      <w:r w:rsidRPr="00EB5116">
        <w:rPr>
          <w:rFonts w:ascii="Cambria" w:hAnsi="Cambria"/>
          <w:sz w:val="22"/>
          <w:szCs w:val="22"/>
        </w:rPr>
        <w:t>Measuring economic policy uncertainty,</w:t>
      </w:r>
      <w:r w:rsidR="009C6279"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The Quarterly </w:t>
      </w:r>
      <w:r w:rsidR="00F44D25" w:rsidRPr="00EB5116">
        <w:rPr>
          <w:rFonts w:ascii="Cambria" w:hAnsi="Cambria"/>
          <w:i/>
          <w:iCs/>
          <w:sz w:val="22"/>
          <w:szCs w:val="22"/>
        </w:rPr>
        <w:t>J</w:t>
      </w:r>
      <w:r w:rsidRPr="00EB5116">
        <w:rPr>
          <w:rFonts w:ascii="Cambria" w:hAnsi="Cambria"/>
          <w:i/>
          <w:iCs/>
          <w:sz w:val="22"/>
          <w:szCs w:val="22"/>
        </w:rPr>
        <w:t>ournal of</w:t>
      </w:r>
      <w:r w:rsidR="0053597F" w:rsidRPr="00EB5116">
        <w:rPr>
          <w:rFonts w:ascii="Cambria" w:hAnsi="Cambria"/>
          <w:i/>
          <w:iCs/>
          <w:sz w:val="22"/>
          <w:szCs w:val="22"/>
        </w:rPr>
        <w:t xml:space="preserve"> </w:t>
      </w:r>
      <w:r w:rsidR="00200671" w:rsidRPr="00EB5116">
        <w:rPr>
          <w:rFonts w:ascii="Cambria" w:hAnsi="Cambria"/>
          <w:i/>
          <w:iCs/>
          <w:sz w:val="22"/>
          <w:szCs w:val="22"/>
        </w:rPr>
        <w:t>E</w:t>
      </w:r>
      <w:r w:rsidRPr="00EB5116">
        <w:rPr>
          <w:rFonts w:ascii="Cambria" w:hAnsi="Cambria"/>
          <w:i/>
          <w:iCs/>
          <w:sz w:val="22"/>
          <w:szCs w:val="22"/>
        </w:rPr>
        <w:t>conomics</w:t>
      </w:r>
      <w:r w:rsidR="00380320" w:rsidRPr="00EB5116">
        <w:rPr>
          <w:rFonts w:ascii="Cambria" w:hAnsi="Cambria"/>
          <w:iCs/>
          <w:sz w:val="22"/>
          <w:szCs w:val="22"/>
        </w:rPr>
        <w:t>,</w:t>
      </w:r>
      <w:r w:rsidRPr="00EB5116">
        <w:rPr>
          <w:rFonts w:ascii="Cambria" w:hAnsi="Cambria"/>
          <w:i/>
          <w:iCs/>
          <w:sz w:val="22"/>
          <w:szCs w:val="22"/>
        </w:rPr>
        <w:t xml:space="preserve"> </w:t>
      </w:r>
      <w:r w:rsidRPr="00EB5116">
        <w:rPr>
          <w:rFonts w:ascii="Cambria" w:hAnsi="Cambria"/>
          <w:sz w:val="22"/>
          <w:szCs w:val="22"/>
        </w:rPr>
        <w:t xml:space="preserve">131(4), 1593–1636. </w:t>
      </w:r>
    </w:p>
    <w:p w14:paraId="5C869C78" w14:textId="739DE1DA" w:rsidR="007612C4" w:rsidRPr="00EB5116" w:rsidRDefault="007612C4" w:rsidP="007612C4">
      <w:pPr>
        <w:pStyle w:val="NormalWeb"/>
        <w:rPr>
          <w:rFonts w:ascii="Cambria" w:hAnsi="Cambria"/>
          <w:sz w:val="22"/>
          <w:szCs w:val="22"/>
        </w:rPr>
      </w:pPr>
      <w:proofErr w:type="spellStart"/>
      <w:r w:rsidRPr="00EB5116">
        <w:rPr>
          <w:rFonts w:ascii="Cambria" w:hAnsi="Cambria"/>
          <w:sz w:val="22"/>
          <w:szCs w:val="22"/>
        </w:rPr>
        <w:t>Barnichon</w:t>
      </w:r>
      <w:proofErr w:type="spellEnd"/>
      <w:r w:rsidRPr="00EB5116">
        <w:rPr>
          <w:rFonts w:ascii="Cambria" w:hAnsi="Cambria"/>
          <w:sz w:val="22"/>
          <w:szCs w:val="22"/>
        </w:rPr>
        <w:t xml:space="preserve">, R. &amp; </w:t>
      </w:r>
      <w:proofErr w:type="spellStart"/>
      <w:r w:rsidRPr="00EB5116">
        <w:rPr>
          <w:rFonts w:ascii="Cambria" w:hAnsi="Cambria"/>
          <w:sz w:val="22"/>
          <w:szCs w:val="22"/>
        </w:rPr>
        <w:t>Brownlees</w:t>
      </w:r>
      <w:proofErr w:type="spellEnd"/>
      <w:r w:rsidRPr="00EB5116">
        <w:rPr>
          <w:rFonts w:ascii="Cambria" w:hAnsi="Cambria"/>
          <w:sz w:val="22"/>
          <w:szCs w:val="22"/>
        </w:rPr>
        <w:t>, C. 2018</w:t>
      </w:r>
      <w:r w:rsidR="008B73E1" w:rsidRPr="00EB5116">
        <w:rPr>
          <w:rFonts w:ascii="Cambria" w:hAnsi="Cambria"/>
          <w:sz w:val="22"/>
          <w:szCs w:val="22"/>
        </w:rPr>
        <w:t>.</w:t>
      </w:r>
      <w:r w:rsidRPr="00EB5116">
        <w:rPr>
          <w:rFonts w:ascii="Cambria" w:hAnsi="Cambria"/>
          <w:sz w:val="22"/>
          <w:szCs w:val="22"/>
        </w:rPr>
        <w:t xml:space="preserve"> </w:t>
      </w:r>
      <w:r w:rsidR="008B73E1" w:rsidRPr="00EB5116">
        <w:rPr>
          <w:rFonts w:ascii="Cambria" w:hAnsi="Cambria"/>
          <w:sz w:val="22"/>
          <w:szCs w:val="22"/>
        </w:rPr>
        <w:t>“</w:t>
      </w:r>
      <w:r w:rsidRPr="00EB5116">
        <w:rPr>
          <w:rFonts w:ascii="Cambria" w:hAnsi="Cambria"/>
          <w:sz w:val="22"/>
          <w:szCs w:val="22"/>
        </w:rPr>
        <w:t>Impulse response estimation by smooth local projections</w:t>
      </w:r>
      <w:r w:rsidR="008B73E1"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Review of Economics and Statistics</w:t>
      </w:r>
      <w:r w:rsidR="003B138E">
        <w:rPr>
          <w:rFonts w:ascii="Cambria" w:hAnsi="Cambria"/>
          <w:i/>
          <w:iCs/>
          <w:sz w:val="22"/>
          <w:szCs w:val="22"/>
        </w:rPr>
        <w:t>,</w:t>
      </w:r>
      <w:r w:rsidR="003B138E">
        <w:rPr>
          <w:rFonts w:ascii="Cambria" w:hAnsi="Cambria"/>
          <w:iCs/>
          <w:sz w:val="22"/>
          <w:szCs w:val="22"/>
        </w:rPr>
        <w:t xml:space="preserve"> </w:t>
      </w:r>
      <w:r w:rsidR="003B138E" w:rsidRPr="003B138E">
        <w:rPr>
          <w:rFonts w:ascii="Cambria" w:hAnsi="Cambria"/>
          <w:iCs/>
          <w:sz w:val="22"/>
          <w:szCs w:val="22"/>
        </w:rPr>
        <w:t>101(3), 522-530.</w:t>
      </w:r>
    </w:p>
    <w:p w14:paraId="332D9537" w14:textId="3EA0C3B9" w:rsidR="007612C4" w:rsidRPr="00EB5116" w:rsidRDefault="007612C4" w:rsidP="007612C4">
      <w:pPr>
        <w:pStyle w:val="NormalWeb"/>
        <w:rPr>
          <w:rFonts w:ascii="Cambria" w:hAnsi="Cambria"/>
          <w:sz w:val="22"/>
          <w:szCs w:val="22"/>
        </w:rPr>
      </w:pPr>
      <w:r w:rsidRPr="00EB5116">
        <w:rPr>
          <w:rFonts w:ascii="Cambria" w:hAnsi="Cambria"/>
          <w:sz w:val="22"/>
          <w:szCs w:val="22"/>
        </w:rPr>
        <w:t>Baumeister, C. &amp; Hamilton, J. D. 2019</w:t>
      </w:r>
      <w:r w:rsidR="00FF0D92" w:rsidRPr="00EB5116">
        <w:rPr>
          <w:rFonts w:ascii="Cambria" w:hAnsi="Cambria"/>
          <w:sz w:val="22"/>
          <w:szCs w:val="22"/>
        </w:rPr>
        <w:t>.</w:t>
      </w:r>
      <w:r w:rsidRPr="00EB5116">
        <w:rPr>
          <w:rFonts w:ascii="Cambria" w:hAnsi="Cambria"/>
          <w:sz w:val="22"/>
          <w:szCs w:val="22"/>
        </w:rPr>
        <w:t xml:space="preserve"> </w:t>
      </w:r>
      <w:r w:rsidR="00FF0D92" w:rsidRPr="00EB5116">
        <w:rPr>
          <w:rFonts w:ascii="Cambria" w:hAnsi="Cambria"/>
          <w:sz w:val="22"/>
          <w:szCs w:val="22"/>
        </w:rPr>
        <w:t>“</w:t>
      </w:r>
      <w:r w:rsidRPr="00EB5116">
        <w:rPr>
          <w:rFonts w:ascii="Cambria" w:hAnsi="Cambria"/>
          <w:sz w:val="22"/>
          <w:szCs w:val="22"/>
        </w:rPr>
        <w:t>Structural interpretation of vector autoregressions with incomplete identification: Revisiting the role of oil supply and demand shocks,</w:t>
      </w:r>
      <w:r w:rsidR="003C7921"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American Economic </w:t>
      </w:r>
      <w:r w:rsidRPr="00EB5116">
        <w:rPr>
          <w:rFonts w:ascii="Cambria" w:hAnsi="Cambria"/>
          <w:iCs/>
          <w:sz w:val="22"/>
          <w:szCs w:val="22"/>
        </w:rPr>
        <w:t>Review</w:t>
      </w:r>
      <w:r w:rsidR="00B274CF" w:rsidRPr="00EB5116">
        <w:rPr>
          <w:rFonts w:ascii="Cambria" w:hAnsi="Cambria"/>
          <w:iCs/>
          <w:sz w:val="22"/>
          <w:szCs w:val="22"/>
        </w:rPr>
        <w:t>,</w:t>
      </w:r>
      <w:r w:rsidR="00BC093E" w:rsidRPr="00EB5116">
        <w:rPr>
          <w:rFonts w:ascii="Cambria" w:hAnsi="Cambria"/>
          <w:iCs/>
          <w:sz w:val="22"/>
          <w:szCs w:val="22"/>
        </w:rPr>
        <w:t xml:space="preserve"> </w:t>
      </w:r>
      <w:r w:rsidRPr="00EB5116">
        <w:rPr>
          <w:rFonts w:ascii="Cambria" w:hAnsi="Cambria"/>
          <w:sz w:val="22"/>
          <w:szCs w:val="22"/>
        </w:rPr>
        <w:t xml:space="preserve">109(5), 1873–1910. </w:t>
      </w:r>
    </w:p>
    <w:p w14:paraId="76C22EDA" w14:textId="4595BAFD" w:rsidR="007612C4" w:rsidRPr="00EB5116" w:rsidRDefault="007612C4" w:rsidP="007612C4">
      <w:pPr>
        <w:pStyle w:val="NormalWeb"/>
        <w:rPr>
          <w:rFonts w:ascii="Cambria" w:hAnsi="Cambria"/>
          <w:sz w:val="22"/>
          <w:szCs w:val="22"/>
        </w:rPr>
      </w:pPr>
      <w:r w:rsidRPr="00EB5116">
        <w:rPr>
          <w:rFonts w:ascii="Cambria" w:hAnsi="Cambria"/>
          <w:sz w:val="22"/>
          <w:szCs w:val="22"/>
        </w:rPr>
        <w:t>Bhattarai, S., Chatterjee, A. &amp; Park, W. Y. 2017</w:t>
      </w:r>
      <w:r w:rsidR="002C17CB" w:rsidRPr="00EB5116">
        <w:rPr>
          <w:rFonts w:ascii="Cambria" w:hAnsi="Cambria"/>
          <w:sz w:val="22"/>
          <w:szCs w:val="22"/>
        </w:rPr>
        <w:t xml:space="preserve">. </w:t>
      </w:r>
      <w:r w:rsidRPr="00EB5116">
        <w:rPr>
          <w:rFonts w:ascii="Cambria" w:hAnsi="Cambria"/>
          <w:sz w:val="22"/>
          <w:szCs w:val="22"/>
        </w:rPr>
        <w:t xml:space="preserve"> </w:t>
      </w:r>
      <w:r w:rsidR="002C17CB" w:rsidRPr="00EB5116">
        <w:rPr>
          <w:rFonts w:ascii="Cambria" w:hAnsi="Cambria"/>
          <w:sz w:val="22"/>
          <w:szCs w:val="22"/>
        </w:rPr>
        <w:t>“</w:t>
      </w:r>
      <w:r w:rsidRPr="00EB5116">
        <w:rPr>
          <w:rFonts w:ascii="Cambria" w:hAnsi="Cambria"/>
          <w:sz w:val="22"/>
          <w:szCs w:val="22"/>
        </w:rPr>
        <w:t>Global spillover effects of us uncertainty</w:t>
      </w:r>
      <w:r w:rsidR="002C17CB"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Working Paper</w:t>
      </w:r>
      <w:r w:rsidR="00CB374E" w:rsidRPr="00EB5116">
        <w:rPr>
          <w:rFonts w:ascii="Cambria" w:hAnsi="Cambria"/>
          <w:iCs/>
          <w:sz w:val="22"/>
          <w:szCs w:val="22"/>
        </w:rPr>
        <w:t>.</w:t>
      </w:r>
    </w:p>
    <w:p w14:paraId="128C532A" w14:textId="3F1A3645" w:rsidR="007612C4" w:rsidRPr="00EB5116" w:rsidRDefault="007612C4" w:rsidP="007612C4">
      <w:pPr>
        <w:pStyle w:val="NormalWeb"/>
        <w:rPr>
          <w:rFonts w:ascii="Cambria" w:hAnsi="Cambria"/>
          <w:sz w:val="22"/>
          <w:szCs w:val="22"/>
        </w:rPr>
      </w:pPr>
      <w:r w:rsidRPr="00EB5116">
        <w:rPr>
          <w:rFonts w:ascii="Cambria" w:hAnsi="Cambria"/>
          <w:sz w:val="22"/>
          <w:szCs w:val="22"/>
        </w:rPr>
        <w:t>Bruno, V. &amp; Shin, H. S. 2015</w:t>
      </w:r>
      <w:r w:rsidR="00895FC5" w:rsidRPr="00EB5116">
        <w:rPr>
          <w:rFonts w:ascii="Cambria" w:hAnsi="Cambria"/>
          <w:sz w:val="22"/>
          <w:szCs w:val="22"/>
        </w:rPr>
        <w:t>.</w:t>
      </w:r>
      <w:r w:rsidRPr="00EB5116">
        <w:rPr>
          <w:rFonts w:ascii="Cambria" w:hAnsi="Cambria"/>
          <w:sz w:val="22"/>
          <w:szCs w:val="22"/>
        </w:rPr>
        <w:t xml:space="preserve"> </w:t>
      </w:r>
      <w:r w:rsidR="00895FC5" w:rsidRPr="00EB5116">
        <w:rPr>
          <w:rFonts w:ascii="Cambria" w:hAnsi="Cambria"/>
          <w:sz w:val="22"/>
          <w:szCs w:val="22"/>
        </w:rPr>
        <w:t>“</w:t>
      </w:r>
      <w:r w:rsidRPr="00EB5116">
        <w:rPr>
          <w:rFonts w:ascii="Cambria" w:hAnsi="Cambria"/>
          <w:sz w:val="22"/>
          <w:szCs w:val="22"/>
        </w:rPr>
        <w:t>Capital flows and the risk-taking channel of monetary policy</w:t>
      </w:r>
      <w:r w:rsidR="00BA64B2"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Journal of Monetary Economics </w:t>
      </w:r>
      <w:r w:rsidRPr="00EB5116">
        <w:rPr>
          <w:rFonts w:ascii="Cambria" w:hAnsi="Cambria"/>
          <w:sz w:val="22"/>
          <w:szCs w:val="22"/>
        </w:rPr>
        <w:t xml:space="preserve">71, 119–132. </w:t>
      </w:r>
    </w:p>
    <w:p w14:paraId="2C5F3060" w14:textId="5CB75356" w:rsidR="007612C4" w:rsidRPr="00064CE4" w:rsidRDefault="007612C4" w:rsidP="007612C4">
      <w:pPr>
        <w:pStyle w:val="NormalWeb"/>
        <w:rPr>
          <w:rFonts w:ascii="Cambria" w:hAnsi="Cambria"/>
          <w:i/>
          <w:iCs/>
          <w:sz w:val="22"/>
          <w:szCs w:val="22"/>
        </w:rPr>
      </w:pPr>
      <w:r w:rsidRPr="00EB5116">
        <w:rPr>
          <w:rFonts w:ascii="Cambria" w:hAnsi="Cambria"/>
          <w:sz w:val="22"/>
          <w:szCs w:val="22"/>
        </w:rPr>
        <w:t xml:space="preserve">Caballero, R. J. &amp; </w:t>
      </w:r>
      <w:proofErr w:type="spellStart"/>
      <w:r w:rsidRPr="00EB5116">
        <w:rPr>
          <w:rFonts w:ascii="Cambria" w:hAnsi="Cambria"/>
          <w:sz w:val="22"/>
          <w:szCs w:val="22"/>
        </w:rPr>
        <w:t>Kamber</w:t>
      </w:r>
      <w:proofErr w:type="spellEnd"/>
      <w:r w:rsidRPr="00EB5116">
        <w:rPr>
          <w:rFonts w:ascii="Cambria" w:hAnsi="Cambria"/>
          <w:sz w:val="22"/>
          <w:szCs w:val="22"/>
        </w:rPr>
        <w:t>, G. 2019</w:t>
      </w:r>
      <w:r w:rsidR="00F56D8D" w:rsidRPr="00EB5116">
        <w:rPr>
          <w:rFonts w:ascii="Cambria" w:hAnsi="Cambria"/>
          <w:sz w:val="22"/>
          <w:szCs w:val="22"/>
        </w:rPr>
        <w:t>,</w:t>
      </w:r>
      <w:r w:rsidRPr="00EB5116">
        <w:rPr>
          <w:rFonts w:ascii="Cambria" w:hAnsi="Cambria"/>
          <w:sz w:val="22"/>
          <w:szCs w:val="22"/>
        </w:rPr>
        <w:t xml:space="preserve"> </w:t>
      </w:r>
      <w:r w:rsidR="00F56D8D" w:rsidRPr="00EB5116">
        <w:rPr>
          <w:rFonts w:ascii="Cambria" w:hAnsi="Cambria"/>
          <w:sz w:val="22"/>
          <w:szCs w:val="22"/>
        </w:rPr>
        <w:t>“</w:t>
      </w:r>
      <w:r w:rsidRPr="00EB5116">
        <w:rPr>
          <w:rFonts w:ascii="Cambria" w:hAnsi="Cambria"/>
          <w:sz w:val="22"/>
          <w:szCs w:val="22"/>
        </w:rPr>
        <w:t>On the global impact of risk-off shocks and policy-put frameworks</w:t>
      </w:r>
      <w:r w:rsidR="008B654A" w:rsidRPr="00EB5116">
        <w:rPr>
          <w:rFonts w:ascii="Cambria" w:hAnsi="Cambria"/>
          <w:sz w:val="22"/>
          <w:szCs w:val="22"/>
        </w:rPr>
        <w:t>.”</w:t>
      </w:r>
      <w:r w:rsidRPr="00EB5116">
        <w:rPr>
          <w:rFonts w:ascii="Cambria" w:hAnsi="Cambria"/>
          <w:sz w:val="22"/>
          <w:szCs w:val="22"/>
        </w:rPr>
        <w:t xml:space="preserve"> </w:t>
      </w:r>
      <w:r w:rsidR="00064CE4" w:rsidRPr="00064CE4">
        <w:rPr>
          <w:rFonts w:ascii="Cambria" w:hAnsi="Cambria"/>
          <w:i/>
          <w:iCs/>
          <w:sz w:val="22"/>
          <w:szCs w:val="22"/>
        </w:rPr>
        <w:t>NBER Working Paper No. 26031</w:t>
      </w:r>
      <w:r w:rsidR="00064CE4">
        <w:rPr>
          <w:rFonts w:ascii="Cambria" w:hAnsi="Cambria"/>
          <w:i/>
          <w:iCs/>
          <w:sz w:val="22"/>
          <w:szCs w:val="22"/>
        </w:rPr>
        <w:t>.</w:t>
      </w:r>
    </w:p>
    <w:p w14:paraId="5ACF9C9A" w14:textId="65C832B3" w:rsidR="007612C4" w:rsidRPr="00EB5116" w:rsidRDefault="007612C4" w:rsidP="007612C4">
      <w:pPr>
        <w:pStyle w:val="NormalWeb"/>
        <w:rPr>
          <w:rFonts w:ascii="Cambria" w:hAnsi="Cambria"/>
          <w:sz w:val="22"/>
          <w:szCs w:val="22"/>
        </w:rPr>
      </w:pPr>
      <w:r w:rsidRPr="00EB5116">
        <w:rPr>
          <w:rFonts w:ascii="Cambria" w:hAnsi="Cambria"/>
          <w:sz w:val="22"/>
          <w:szCs w:val="22"/>
        </w:rPr>
        <w:t xml:space="preserve">Caldara, D. &amp; </w:t>
      </w:r>
      <w:proofErr w:type="spellStart"/>
      <w:r w:rsidRPr="00EB5116">
        <w:rPr>
          <w:rFonts w:ascii="Cambria" w:hAnsi="Cambria"/>
          <w:sz w:val="22"/>
          <w:szCs w:val="22"/>
        </w:rPr>
        <w:t>Iacoviello</w:t>
      </w:r>
      <w:proofErr w:type="spellEnd"/>
      <w:r w:rsidRPr="00EB5116">
        <w:rPr>
          <w:rFonts w:ascii="Cambria" w:hAnsi="Cambria"/>
          <w:sz w:val="22"/>
          <w:szCs w:val="22"/>
        </w:rPr>
        <w:t>, M. 2018</w:t>
      </w:r>
      <w:r w:rsidR="00985882" w:rsidRPr="00EB5116">
        <w:rPr>
          <w:rFonts w:ascii="Cambria" w:hAnsi="Cambria"/>
          <w:sz w:val="22"/>
          <w:szCs w:val="22"/>
        </w:rPr>
        <w:t>.</w:t>
      </w:r>
      <w:r w:rsidRPr="00EB5116">
        <w:rPr>
          <w:rFonts w:ascii="Cambria" w:hAnsi="Cambria"/>
          <w:sz w:val="22"/>
          <w:szCs w:val="22"/>
        </w:rPr>
        <w:t xml:space="preserve"> </w:t>
      </w:r>
      <w:r w:rsidR="00985882" w:rsidRPr="00EB5116">
        <w:rPr>
          <w:rFonts w:ascii="Cambria" w:hAnsi="Cambria"/>
          <w:sz w:val="22"/>
          <w:szCs w:val="22"/>
        </w:rPr>
        <w:t>“</w:t>
      </w:r>
      <w:r w:rsidRPr="00EB5116">
        <w:rPr>
          <w:rFonts w:ascii="Cambria" w:hAnsi="Cambria"/>
          <w:sz w:val="22"/>
          <w:szCs w:val="22"/>
        </w:rPr>
        <w:t>Measuring geopolitical risk</w:t>
      </w:r>
      <w:r w:rsidR="003D2017"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FRB International Finance Discussion Paper </w:t>
      </w:r>
      <w:r w:rsidRPr="00EB5116">
        <w:rPr>
          <w:rFonts w:ascii="Cambria" w:hAnsi="Cambria"/>
          <w:sz w:val="22"/>
          <w:szCs w:val="22"/>
        </w:rPr>
        <w:t xml:space="preserve">(1222). </w:t>
      </w:r>
    </w:p>
    <w:p w14:paraId="69B7B5F5" w14:textId="515C9211" w:rsidR="007612C4" w:rsidRPr="00EB5116" w:rsidRDefault="007612C4" w:rsidP="007612C4">
      <w:pPr>
        <w:pStyle w:val="NormalWeb"/>
        <w:rPr>
          <w:rFonts w:ascii="Cambria" w:hAnsi="Cambria"/>
          <w:sz w:val="22"/>
          <w:szCs w:val="22"/>
        </w:rPr>
      </w:pPr>
      <w:r w:rsidRPr="00EB5116">
        <w:rPr>
          <w:rFonts w:ascii="Cambria" w:hAnsi="Cambria"/>
          <w:sz w:val="22"/>
          <w:szCs w:val="22"/>
        </w:rPr>
        <w:t>Carney, M. 2016</w:t>
      </w:r>
      <w:r w:rsidR="009B4C5A" w:rsidRPr="00EB5116">
        <w:rPr>
          <w:rFonts w:ascii="Cambria" w:hAnsi="Cambria"/>
          <w:sz w:val="22"/>
          <w:szCs w:val="22"/>
        </w:rPr>
        <w:t>.</w:t>
      </w:r>
      <w:r w:rsidRPr="00EB5116">
        <w:rPr>
          <w:rFonts w:ascii="Cambria" w:hAnsi="Cambria"/>
          <w:sz w:val="22"/>
          <w:szCs w:val="22"/>
        </w:rPr>
        <w:t xml:space="preserve"> </w:t>
      </w:r>
      <w:r w:rsidR="009B4C5A" w:rsidRPr="00EB5116">
        <w:rPr>
          <w:rFonts w:ascii="Cambria" w:hAnsi="Cambria"/>
          <w:sz w:val="22"/>
          <w:szCs w:val="22"/>
        </w:rPr>
        <w:t>“</w:t>
      </w:r>
      <w:r w:rsidRPr="00EB5116">
        <w:rPr>
          <w:rFonts w:ascii="Cambria" w:hAnsi="Cambria"/>
          <w:sz w:val="22"/>
          <w:szCs w:val="22"/>
        </w:rPr>
        <w:t>Uncertainty, the economy and policy</w:t>
      </w:r>
      <w:r w:rsidR="000C0A30"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Bank of England</w:t>
      </w:r>
      <w:r w:rsidR="00FD740F" w:rsidRPr="00EB5116">
        <w:rPr>
          <w:rFonts w:ascii="Cambria" w:hAnsi="Cambria"/>
          <w:i/>
          <w:iCs/>
          <w:sz w:val="22"/>
          <w:szCs w:val="22"/>
        </w:rPr>
        <w:t xml:space="preserve"> Speech.</w:t>
      </w:r>
      <w:r w:rsidRPr="00EB5116">
        <w:rPr>
          <w:rFonts w:ascii="Cambria" w:hAnsi="Cambria"/>
          <w:sz w:val="22"/>
          <w:szCs w:val="22"/>
        </w:rPr>
        <w:t xml:space="preserve"> </w:t>
      </w:r>
    </w:p>
    <w:p w14:paraId="47CC5511" w14:textId="221D5CCD" w:rsidR="007612C4" w:rsidRPr="00EB5116" w:rsidRDefault="007612C4" w:rsidP="007612C4">
      <w:pPr>
        <w:pStyle w:val="NormalWeb"/>
        <w:rPr>
          <w:rFonts w:ascii="Cambria" w:hAnsi="Cambria"/>
          <w:sz w:val="22"/>
          <w:szCs w:val="22"/>
        </w:rPr>
      </w:pPr>
      <w:proofErr w:type="spellStart"/>
      <w:r w:rsidRPr="00EB5116">
        <w:rPr>
          <w:rFonts w:ascii="Cambria" w:hAnsi="Cambria"/>
          <w:sz w:val="22"/>
          <w:szCs w:val="22"/>
        </w:rPr>
        <w:lastRenderedPageBreak/>
        <w:t>Carriero</w:t>
      </w:r>
      <w:proofErr w:type="spellEnd"/>
      <w:r w:rsidRPr="00EB5116">
        <w:rPr>
          <w:rFonts w:ascii="Cambria" w:hAnsi="Cambria"/>
          <w:sz w:val="22"/>
          <w:szCs w:val="22"/>
        </w:rPr>
        <w:t xml:space="preserve">, A., Mumtaz, H., Theodoridis, K. &amp; </w:t>
      </w:r>
      <w:proofErr w:type="spellStart"/>
      <w:r w:rsidRPr="00EB5116">
        <w:rPr>
          <w:rFonts w:ascii="Cambria" w:hAnsi="Cambria"/>
          <w:sz w:val="22"/>
          <w:szCs w:val="22"/>
        </w:rPr>
        <w:t>Theophilopoulou</w:t>
      </w:r>
      <w:proofErr w:type="spellEnd"/>
      <w:r w:rsidRPr="00EB5116">
        <w:rPr>
          <w:rFonts w:ascii="Cambria" w:hAnsi="Cambria"/>
          <w:sz w:val="22"/>
          <w:szCs w:val="22"/>
        </w:rPr>
        <w:t>, A. 2015</w:t>
      </w:r>
      <w:r w:rsidR="00657570" w:rsidRPr="00EB5116">
        <w:rPr>
          <w:rFonts w:ascii="Cambria" w:hAnsi="Cambria"/>
          <w:sz w:val="22"/>
          <w:szCs w:val="22"/>
        </w:rPr>
        <w:t>. “</w:t>
      </w:r>
      <w:r w:rsidRPr="00EB5116">
        <w:rPr>
          <w:rFonts w:ascii="Cambria" w:hAnsi="Cambria"/>
          <w:sz w:val="22"/>
          <w:szCs w:val="22"/>
        </w:rPr>
        <w:t xml:space="preserve">The impact of </w:t>
      </w:r>
      <w:proofErr w:type="spellStart"/>
      <w:r w:rsidRPr="00EB5116">
        <w:rPr>
          <w:rFonts w:ascii="Cambria" w:hAnsi="Cambria"/>
          <w:sz w:val="22"/>
          <w:szCs w:val="22"/>
        </w:rPr>
        <w:t>uncer</w:t>
      </w:r>
      <w:proofErr w:type="spellEnd"/>
      <w:r w:rsidRPr="00EB5116">
        <w:rPr>
          <w:rFonts w:ascii="Cambria" w:hAnsi="Cambria"/>
          <w:sz w:val="22"/>
          <w:szCs w:val="22"/>
        </w:rPr>
        <w:t xml:space="preserve">- </w:t>
      </w:r>
      <w:proofErr w:type="spellStart"/>
      <w:r w:rsidRPr="00EB5116">
        <w:rPr>
          <w:rFonts w:ascii="Cambria" w:hAnsi="Cambria"/>
          <w:sz w:val="22"/>
          <w:szCs w:val="22"/>
        </w:rPr>
        <w:t>tainty</w:t>
      </w:r>
      <w:proofErr w:type="spellEnd"/>
      <w:r w:rsidRPr="00EB5116">
        <w:rPr>
          <w:rFonts w:ascii="Cambria" w:hAnsi="Cambria"/>
          <w:sz w:val="22"/>
          <w:szCs w:val="22"/>
        </w:rPr>
        <w:t xml:space="preserve"> shocks under measurement error: A proxy </w:t>
      </w:r>
      <w:proofErr w:type="spellStart"/>
      <w:r w:rsidRPr="00EB5116">
        <w:rPr>
          <w:rFonts w:ascii="Cambria" w:hAnsi="Cambria"/>
          <w:sz w:val="22"/>
          <w:szCs w:val="22"/>
        </w:rPr>
        <w:t>svar</w:t>
      </w:r>
      <w:proofErr w:type="spellEnd"/>
      <w:r w:rsidRPr="00EB5116">
        <w:rPr>
          <w:rFonts w:ascii="Cambria" w:hAnsi="Cambria"/>
          <w:sz w:val="22"/>
          <w:szCs w:val="22"/>
        </w:rPr>
        <w:t xml:space="preserve"> approach</w:t>
      </w:r>
      <w:r w:rsidR="001F3E68"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Journal of Money, Credit and Banking </w:t>
      </w:r>
      <w:r w:rsidRPr="00EB5116">
        <w:rPr>
          <w:rFonts w:ascii="Cambria" w:hAnsi="Cambria"/>
          <w:sz w:val="22"/>
          <w:szCs w:val="22"/>
        </w:rPr>
        <w:t xml:space="preserve">47(6), 1223–1238. </w:t>
      </w:r>
    </w:p>
    <w:p w14:paraId="04E83795" w14:textId="115E2B95" w:rsidR="007612C4" w:rsidRPr="00EB5116" w:rsidRDefault="007612C4" w:rsidP="007612C4">
      <w:pPr>
        <w:pStyle w:val="NormalWeb"/>
        <w:rPr>
          <w:rFonts w:ascii="Cambria" w:hAnsi="Cambria"/>
          <w:sz w:val="22"/>
          <w:szCs w:val="22"/>
        </w:rPr>
      </w:pPr>
      <w:r w:rsidRPr="00EB5116">
        <w:rPr>
          <w:rFonts w:ascii="Cambria" w:hAnsi="Cambria"/>
          <w:sz w:val="22"/>
          <w:szCs w:val="22"/>
        </w:rPr>
        <w:t>Gertler, M. &amp; Karadi, P. 2015</w:t>
      </w:r>
      <w:r w:rsidR="0053396D" w:rsidRPr="00EB5116">
        <w:rPr>
          <w:rFonts w:ascii="Cambria" w:hAnsi="Cambria"/>
          <w:sz w:val="22"/>
          <w:szCs w:val="22"/>
        </w:rPr>
        <w:t>. “</w:t>
      </w:r>
      <w:r w:rsidRPr="00EB5116">
        <w:rPr>
          <w:rFonts w:ascii="Cambria" w:hAnsi="Cambria"/>
          <w:sz w:val="22"/>
          <w:szCs w:val="22"/>
        </w:rPr>
        <w:t>Monetary Policy Surprises, Credit Costs, and Economic Activity</w:t>
      </w:r>
      <w:r w:rsidR="00262B3A" w:rsidRPr="00EB5116">
        <w:rPr>
          <w:rFonts w:ascii="Cambria" w:hAnsi="Cambria"/>
          <w:sz w:val="22"/>
          <w:szCs w:val="22"/>
        </w:rPr>
        <w:t xml:space="preserve">,” </w:t>
      </w:r>
      <w:r w:rsidRPr="00EB5116">
        <w:rPr>
          <w:rFonts w:ascii="Cambria" w:hAnsi="Cambria"/>
          <w:i/>
          <w:iCs/>
          <w:sz w:val="22"/>
          <w:szCs w:val="22"/>
        </w:rPr>
        <w:t xml:space="preserve">American Economic Journal: Macroeconomics </w:t>
      </w:r>
      <w:r w:rsidRPr="00EB5116">
        <w:rPr>
          <w:rFonts w:ascii="Cambria" w:hAnsi="Cambria"/>
          <w:sz w:val="22"/>
          <w:szCs w:val="22"/>
        </w:rPr>
        <w:t xml:space="preserve">7(1), 44–76. </w:t>
      </w:r>
    </w:p>
    <w:p w14:paraId="0878404D" w14:textId="460758F1" w:rsidR="003A647C" w:rsidRPr="00EB5116" w:rsidRDefault="003A647C" w:rsidP="003A647C">
      <w:pPr>
        <w:pStyle w:val="NormalWeb"/>
        <w:rPr>
          <w:rFonts w:ascii="Cambria" w:hAnsi="Cambria"/>
          <w:sz w:val="22"/>
          <w:szCs w:val="22"/>
        </w:rPr>
      </w:pPr>
      <w:r w:rsidRPr="00EB5116">
        <w:rPr>
          <w:rFonts w:ascii="Cambria" w:hAnsi="Cambria"/>
          <w:sz w:val="22"/>
          <w:szCs w:val="22"/>
        </w:rPr>
        <w:t xml:space="preserve">Ghosh, T., </w:t>
      </w:r>
      <w:proofErr w:type="spellStart"/>
      <w:r w:rsidRPr="00EB5116">
        <w:rPr>
          <w:rFonts w:ascii="Cambria" w:hAnsi="Cambria"/>
          <w:sz w:val="22"/>
          <w:szCs w:val="22"/>
        </w:rPr>
        <w:t>Sahu</w:t>
      </w:r>
      <w:proofErr w:type="spellEnd"/>
      <w:r w:rsidRPr="00EB5116">
        <w:rPr>
          <w:rFonts w:ascii="Cambria" w:hAnsi="Cambria"/>
          <w:sz w:val="22"/>
          <w:szCs w:val="22"/>
        </w:rPr>
        <w:t>, S. &amp; Chattopadhyay, S. 2017. “Households’ inflation expectations in India: Role of economic policy uncertainty and global financial uncertainty spillover,</w:t>
      </w:r>
      <w:r w:rsidR="005143D4" w:rsidRPr="00EB5116">
        <w:rPr>
          <w:rFonts w:ascii="Cambria" w:hAnsi="Cambria"/>
          <w:sz w:val="22"/>
          <w:szCs w:val="22"/>
        </w:rPr>
        <w:t>”</w:t>
      </w:r>
      <w:r w:rsidRPr="00EB5116">
        <w:rPr>
          <w:rFonts w:ascii="Cambria" w:hAnsi="Cambria"/>
          <w:sz w:val="22"/>
          <w:szCs w:val="22"/>
        </w:rPr>
        <w:t xml:space="preserve"> Technical report, Indira Gandhi Institute of Development Research, Mumbai, India. </w:t>
      </w:r>
    </w:p>
    <w:p w14:paraId="084776A2" w14:textId="68BC4348" w:rsidR="003A647C" w:rsidRPr="00EB5116" w:rsidRDefault="003A647C" w:rsidP="003A647C">
      <w:pPr>
        <w:pStyle w:val="NormalWeb"/>
        <w:rPr>
          <w:rFonts w:ascii="Cambria" w:hAnsi="Cambria"/>
          <w:sz w:val="22"/>
          <w:szCs w:val="22"/>
        </w:rPr>
      </w:pPr>
      <w:r w:rsidRPr="00EB5116">
        <w:rPr>
          <w:rFonts w:ascii="Cambria" w:hAnsi="Cambria"/>
          <w:sz w:val="22"/>
          <w:szCs w:val="22"/>
        </w:rPr>
        <w:t xml:space="preserve">Gilchrist, S. &amp; </w:t>
      </w:r>
      <w:proofErr w:type="spellStart"/>
      <w:r w:rsidRPr="00EB5116">
        <w:rPr>
          <w:rFonts w:ascii="Cambria" w:hAnsi="Cambria"/>
          <w:sz w:val="22"/>
          <w:szCs w:val="22"/>
        </w:rPr>
        <w:t>Zakrajek</w:t>
      </w:r>
      <w:proofErr w:type="spellEnd"/>
      <w:r w:rsidRPr="00EB5116">
        <w:rPr>
          <w:rFonts w:ascii="Cambria" w:hAnsi="Cambria"/>
          <w:sz w:val="22"/>
          <w:szCs w:val="22"/>
        </w:rPr>
        <w:t>, E. 2012</w:t>
      </w:r>
      <w:r w:rsidR="00014CFB" w:rsidRPr="00EB5116">
        <w:rPr>
          <w:rFonts w:ascii="Cambria" w:hAnsi="Cambria"/>
          <w:sz w:val="22"/>
          <w:szCs w:val="22"/>
        </w:rPr>
        <w:t>.</w:t>
      </w:r>
      <w:r w:rsidRPr="00EB5116">
        <w:rPr>
          <w:rFonts w:ascii="Cambria" w:hAnsi="Cambria"/>
          <w:sz w:val="22"/>
          <w:szCs w:val="22"/>
        </w:rPr>
        <w:t xml:space="preserve"> </w:t>
      </w:r>
      <w:r w:rsidR="00014CFB" w:rsidRPr="00EB5116">
        <w:rPr>
          <w:rFonts w:ascii="Cambria" w:hAnsi="Cambria"/>
          <w:sz w:val="22"/>
          <w:szCs w:val="22"/>
        </w:rPr>
        <w:t>“</w:t>
      </w:r>
      <w:r w:rsidRPr="00EB5116">
        <w:rPr>
          <w:rFonts w:ascii="Cambria" w:hAnsi="Cambria"/>
          <w:sz w:val="22"/>
          <w:szCs w:val="22"/>
        </w:rPr>
        <w:t>Credit Spreads and Business Cycle Fluctuations</w:t>
      </w:r>
      <w:r w:rsidR="00767A1D"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American Economic Review </w:t>
      </w:r>
      <w:r w:rsidRPr="00EB5116">
        <w:rPr>
          <w:rFonts w:ascii="Cambria" w:hAnsi="Cambria"/>
          <w:sz w:val="22"/>
          <w:szCs w:val="22"/>
        </w:rPr>
        <w:t>102(4), 1692–1720.</w:t>
      </w:r>
    </w:p>
    <w:p w14:paraId="42594F1E" w14:textId="11E1EA1B" w:rsidR="003A647C" w:rsidRPr="00EB5116" w:rsidRDefault="008101A2" w:rsidP="003A647C">
      <w:pPr>
        <w:pStyle w:val="NormalWeb"/>
        <w:rPr>
          <w:rFonts w:ascii="Cambria" w:hAnsi="Cambria"/>
          <w:sz w:val="22"/>
          <w:szCs w:val="22"/>
        </w:rPr>
      </w:pPr>
      <w:proofErr w:type="spellStart"/>
      <w:r w:rsidRPr="00EB5116">
        <w:rPr>
          <w:rStyle w:val="Emphasis"/>
          <w:rFonts w:ascii="Cambria" w:hAnsi="Cambria" w:cstheme="minorHAnsi"/>
          <w:bCs/>
          <w:i w:val="0"/>
          <w:iCs w:val="0"/>
          <w:color w:val="000000" w:themeColor="text1"/>
          <w:sz w:val="22"/>
          <w:szCs w:val="22"/>
        </w:rPr>
        <w:t>Jordà</w:t>
      </w:r>
      <w:proofErr w:type="spellEnd"/>
      <w:r w:rsidRPr="00EB5116">
        <w:rPr>
          <w:rFonts w:ascii="Cambria" w:hAnsi="Cambria"/>
          <w:sz w:val="22"/>
          <w:szCs w:val="22"/>
        </w:rPr>
        <w:t xml:space="preserve">, </w:t>
      </w:r>
      <w:r w:rsidR="003A647C" w:rsidRPr="00EB5116">
        <w:rPr>
          <w:rFonts w:ascii="Cambria" w:hAnsi="Cambria"/>
          <w:sz w:val="22"/>
          <w:szCs w:val="22"/>
        </w:rPr>
        <w:t>O. 2005</w:t>
      </w:r>
      <w:r w:rsidR="00F941C8" w:rsidRPr="00EB5116">
        <w:rPr>
          <w:rFonts w:ascii="Cambria" w:hAnsi="Cambria"/>
          <w:sz w:val="22"/>
          <w:szCs w:val="22"/>
        </w:rPr>
        <w:t>. “</w:t>
      </w:r>
      <w:r w:rsidR="003A647C" w:rsidRPr="00EB5116">
        <w:rPr>
          <w:rFonts w:ascii="Cambria" w:hAnsi="Cambria"/>
          <w:sz w:val="22"/>
          <w:szCs w:val="22"/>
        </w:rPr>
        <w:t>Estimation and inference of impulse responses by local projections</w:t>
      </w:r>
      <w:r w:rsidR="00AE5F3C" w:rsidRPr="00EB5116">
        <w:rPr>
          <w:rFonts w:ascii="Cambria" w:hAnsi="Cambria"/>
          <w:sz w:val="22"/>
          <w:szCs w:val="22"/>
        </w:rPr>
        <w:t xml:space="preserve">,” </w:t>
      </w:r>
      <w:r w:rsidR="003A647C" w:rsidRPr="00EB5116">
        <w:rPr>
          <w:rFonts w:ascii="Cambria" w:hAnsi="Cambria"/>
          <w:i/>
          <w:iCs/>
          <w:sz w:val="22"/>
          <w:szCs w:val="22"/>
        </w:rPr>
        <w:t xml:space="preserve">American </w:t>
      </w:r>
      <w:r w:rsidR="006862DA" w:rsidRPr="00EB5116">
        <w:rPr>
          <w:rFonts w:ascii="Cambria" w:hAnsi="Cambria"/>
          <w:sz w:val="22"/>
          <w:szCs w:val="22"/>
        </w:rPr>
        <w:t>E</w:t>
      </w:r>
      <w:r w:rsidR="003A647C" w:rsidRPr="00EB5116">
        <w:rPr>
          <w:rFonts w:ascii="Cambria" w:hAnsi="Cambria"/>
          <w:i/>
          <w:iCs/>
          <w:sz w:val="22"/>
          <w:szCs w:val="22"/>
        </w:rPr>
        <w:t xml:space="preserve">conomic </w:t>
      </w:r>
      <w:r w:rsidR="006862DA" w:rsidRPr="00EB5116">
        <w:rPr>
          <w:rFonts w:ascii="Cambria" w:hAnsi="Cambria"/>
          <w:i/>
          <w:iCs/>
          <w:sz w:val="22"/>
          <w:szCs w:val="22"/>
        </w:rPr>
        <w:t>R</w:t>
      </w:r>
      <w:r w:rsidR="003A647C" w:rsidRPr="00EB5116">
        <w:rPr>
          <w:rFonts w:ascii="Cambria" w:hAnsi="Cambria"/>
          <w:i/>
          <w:iCs/>
          <w:sz w:val="22"/>
          <w:szCs w:val="22"/>
        </w:rPr>
        <w:t>eview</w:t>
      </w:r>
      <w:r w:rsidR="003B138E">
        <w:rPr>
          <w:rFonts w:ascii="Cambria" w:hAnsi="Cambria"/>
          <w:i/>
          <w:iCs/>
          <w:sz w:val="22"/>
          <w:szCs w:val="22"/>
        </w:rPr>
        <w:t>, 95(1),</w:t>
      </w:r>
      <w:r w:rsidR="003A647C" w:rsidRPr="00EB5116">
        <w:rPr>
          <w:rFonts w:ascii="Cambria" w:hAnsi="Cambria"/>
          <w:i/>
          <w:iCs/>
          <w:sz w:val="22"/>
          <w:szCs w:val="22"/>
        </w:rPr>
        <w:t xml:space="preserve"> </w:t>
      </w:r>
      <w:r w:rsidR="003A647C" w:rsidRPr="00EB5116">
        <w:rPr>
          <w:rFonts w:ascii="Cambria" w:hAnsi="Cambria"/>
          <w:sz w:val="22"/>
          <w:szCs w:val="22"/>
        </w:rPr>
        <w:t xml:space="preserve">pp. 161–182. </w:t>
      </w:r>
    </w:p>
    <w:p w14:paraId="773D0464" w14:textId="7EC39D00" w:rsidR="003A647C" w:rsidRPr="00DC7734" w:rsidRDefault="00B269C3" w:rsidP="003A647C">
      <w:pPr>
        <w:pStyle w:val="NormalWeb"/>
        <w:rPr>
          <w:rFonts w:ascii="Cambria" w:hAnsi="Cambria"/>
          <w:sz w:val="22"/>
          <w:szCs w:val="22"/>
        </w:rPr>
      </w:pPr>
      <w:proofErr w:type="spellStart"/>
      <w:r w:rsidRPr="00EB5116">
        <w:rPr>
          <w:rStyle w:val="Emphasis"/>
          <w:rFonts w:ascii="Cambria" w:hAnsi="Cambria" w:cstheme="minorHAnsi"/>
          <w:bCs/>
          <w:i w:val="0"/>
          <w:iCs w:val="0"/>
          <w:color w:val="000000" w:themeColor="text1"/>
          <w:sz w:val="22"/>
          <w:szCs w:val="22"/>
        </w:rPr>
        <w:t>Jordà</w:t>
      </w:r>
      <w:proofErr w:type="spellEnd"/>
      <w:r w:rsidRPr="00EB5116">
        <w:rPr>
          <w:rFonts w:ascii="Cambria" w:hAnsi="Cambria"/>
          <w:sz w:val="22"/>
          <w:szCs w:val="22"/>
        </w:rPr>
        <w:t xml:space="preserve">, O., </w:t>
      </w:r>
      <w:r w:rsidR="003A647C" w:rsidRPr="00EB5116">
        <w:rPr>
          <w:rFonts w:ascii="Cambria" w:hAnsi="Cambria"/>
          <w:sz w:val="22"/>
          <w:szCs w:val="22"/>
        </w:rPr>
        <w:t>S</w:t>
      </w:r>
      <w:r w:rsidR="00DC7734">
        <w:rPr>
          <w:rFonts w:ascii="Cambria" w:hAnsi="Cambria"/>
          <w:sz w:val="22"/>
          <w:szCs w:val="22"/>
        </w:rPr>
        <w:t>ingh</w:t>
      </w:r>
      <w:r w:rsidR="003A647C" w:rsidRPr="00EB5116">
        <w:rPr>
          <w:rFonts w:ascii="Cambria" w:hAnsi="Cambria"/>
          <w:sz w:val="22"/>
          <w:szCs w:val="22"/>
        </w:rPr>
        <w:t xml:space="preserve">, </w:t>
      </w:r>
      <w:r w:rsidR="00DC7734">
        <w:rPr>
          <w:rFonts w:ascii="Cambria" w:hAnsi="Cambria"/>
          <w:sz w:val="22"/>
          <w:szCs w:val="22"/>
        </w:rPr>
        <w:t>S.R</w:t>
      </w:r>
      <w:r w:rsidR="003A647C" w:rsidRPr="00EB5116">
        <w:rPr>
          <w:rFonts w:ascii="Cambria" w:hAnsi="Cambria"/>
          <w:sz w:val="22"/>
          <w:szCs w:val="22"/>
        </w:rPr>
        <w:t xml:space="preserve">. &amp; Taylor, A. M. </w:t>
      </w:r>
      <w:r w:rsidR="00E51C8A" w:rsidRPr="00EB5116">
        <w:rPr>
          <w:rFonts w:ascii="Cambria" w:hAnsi="Cambria"/>
          <w:sz w:val="22"/>
          <w:szCs w:val="22"/>
        </w:rPr>
        <w:t>20</w:t>
      </w:r>
      <w:r w:rsidR="00DC7734">
        <w:rPr>
          <w:rFonts w:ascii="Cambria" w:hAnsi="Cambria"/>
          <w:sz w:val="22"/>
          <w:szCs w:val="22"/>
        </w:rPr>
        <w:t>20</w:t>
      </w:r>
      <w:r w:rsidR="00E51C8A" w:rsidRPr="00EB5116">
        <w:rPr>
          <w:rFonts w:ascii="Cambria" w:hAnsi="Cambria"/>
          <w:sz w:val="22"/>
          <w:szCs w:val="22"/>
        </w:rPr>
        <w:t xml:space="preserve">. </w:t>
      </w:r>
      <w:r w:rsidR="003A647C" w:rsidRPr="00EB5116">
        <w:rPr>
          <w:rFonts w:ascii="Cambria" w:hAnsi="Cambria"/>
          <w:sz w:val="22"/>
          <w:szCs w:val="22"/>
        </w:rPr>
        <w:t xml:space="preserve"> </w:t>
      </w:r>
      <w:r w:rsidR="00927C28" w:rsidRPr="00EB5116">
        <w:rPr>
          <w:rFonts w:ascii="Cambria" w:hAnsi="Cambria"/>
          <w:sz w:val="22"/>
          <w:szCs w:val="22"/>
        </w:rPr>
        <w:t>“</w:t>
      </w:r>
      <w:r w:rsidR="00DC7734">
        <w:rPr>
          <w:rFonts w:ascii="Cambria" w:hAnsi="Cambria"/>
          <w:sz w:val="22"/>
          <w:szCs w:val="22"/>
        </w:rPr>
        <w:t>The long-run effects of monetary policy</w:t>
      </w:r>
      <w:r w:rsidR="000F772E" w:rsidRPr="00EB5116">
        <w:rPr>
          <w:rFonts w:ascii="Cambria" w:hAnsi="Cambria"/>
          <w:sz w:val="22"/>
          <w:szCs w:val="22"/>
        </w:rPr>
        <w:t>,”</w:t>
      </w:r>
      <w:r w:rsidR="003A647C" w:rsidRPr="00EB5116">
        <w:rPr>
          <w:rFonts w:ascii="Cambria" w:hAnsi="Cambria"/>
          <w:sz w:val="22"/>
          <w:szCs w:val="22"/>
        </w:rPr>
        <w:t xml:space="preserve"> </w:t>
      </w:r>
      <w:r w:rsidR="00DC7734" w:rsidRPr="00675A33">
        <w:rPr>
          <w:rFonts w:ascii="Cambria" w:hAnsi="Cambria"/>
          <w:iCs/>
          <w:sz w:val="22"/>
          <w:szCs w:val="22"/>
        </w:rPr>
        <w:t>NBER Working Paper</w:t>
      </w:r>
      <w:r w:rsidR="00DC7734" w:rsidRPr="00675A33">
        <w:rPr>
          <w:rFonts w:ascii="Cambria" w:hAnsi="Cambria"/>
          <w:sz w:val="22"/>
          <w:szCs w:val="22"/>
        </w:rPr>
        <w:t xml:space="preserve"> no. 26666. </w:t>
      </w:r>
    </w:p>
    <w:p w14:paraId="7ADE7001" w14:textId="2FF91EE7" w:rsidR="003A647C" w:rsidRPr="00EB5116" w:rsidRDefault="003A647C" w:rsidP="003A647C">
      <w:pPr>
        <w:pStyle w:val="NormalWeb"/>
        <w:rPr>
          <w:rFonts w:ascii="Cambria" w:hAnsi="Cambria"/>
          <w:sz w:val="22"/>
          <w:szCs w:val="22"/>
        </w:rPr>
      </w:pPr>
      <w:r w:rsidRPr="00EB5116">
        <w:rPr>
          <w:rFonts w:ascii="Cambria" w:hAnsi="Cambria"/>
          <w:sz w:val="22"/>
          <w:szCs w:val="22"/>
        </w:rPr>
        <w:t>Kilian, L. 2009</w:t>
      </w:r>
      <w:r w:rsidR="005E0233" w:rsidRPr="00EB5116">
        <w:rPr>
          <w:rFonts w:ascii="Cambria" w:hAnsi="Cambria"/>
          <w:sz w:val="22"/>
          <w:szCs w:val="22"/>
        </w:rPr>
        <w:t>.</w:t>
      </w:r>
      <w:r w:rsidRPr="00EB5116">
        <w:rPr>
          <w:rFonts w:ascii="Cambria" w:hAnsi="Cambria"/>
          <w:sz w:val="22"/>
          <w:szCs w:val="22"/>
        </w:rPr>
        <w:t xml:space="preserve"> </w:t>
      </w:r>
      <w:r w:rsidR="005E0233" w:rsidRPr="00EB5116">
        <w:rPr>
          <w:rFonts w:ascii="Cambria" w:hAnsi="Cambria"/>
          <w:sz w:val="22"/>
          <w:szCs w:val="22"/>
        </w:rPr>
        <w:t>“</w:t>
      </w:r>
      <w:r w:rsidRPr="00EB5116">
        <w:rPr>
          <w:rFonts w:ascii="Cambria" w:hAnsi="Cambria"/>
          <w:sz w:val="22"/>
          <w:szCs w:val="22"/>
        </w:rPr>
        <w:t>Not all oil price shocks are alike: Disentangling demand and supply shocks in the crude oil market</w:t>
      </w:r>
      <w:r w:rsidR="002B5042"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American Economic Review </w:t>
      </w:r>
      <w:r w:rsidRPr="00EB5116">
        <w:rPr>
          <w:rFonts w:ascii="Cambria" w:hAnsi="Cambria"/>
          <w:sz w:val="22"/>
          <w:szCs w:val="22"/>
        </w:rPr>
        <w:t xml:space="preserve">99(3), 1053–69. </w:t>
      </w:r>
    </w:p>
    <w:p w14:paraId="427BC3FC" w14:textId="1D0125B8" w:rsidR="003A647C" w:rsidRPr="00064CE4" w:rsidRDefault="003A647C" w:rsidP="003A647C">
      <w:pPr>
        <w:pStyle w:val="NormalWeb"/>
        <w:rPr>
          <w:rFonts w:ascii="Cambria" w:hAnsi="Cambria"/>
          <w:i/>
          <w:iCs/>
          <w:sz w:val="22"/>
          <w:szCs w:val="22"/>
        </w:rPr>
      </w:pPr>
      <w:r w:rsidRPr="00EB5116">
        <w:rPr>
          <w:rFonts w:ascii="Cambria" w:hAnsi="Cambria"/>
          <w:sz w:val="22"/>
          <w:szCs w:val="22"/>
        </w:rPr>
        <w:t>Lakdawala, A.</w:t>
      </w:r>
      <w:r w:rsidR="003D3740" w:rsidRPr="00EB5116">
        <w:rPr>
          <w:rFonts w:ascii="Cambria" w:hAnsi="Cambria"/>
          <w:sz w:val="22"/>
          <w:szCs w:val="22"/>
        </w:rPr>
        <w:t xml:space="preserve"> </w:t>
      </w:r>
      <w:r w:rsidRPr="00EB5116">
        <w:rPr>
          <w:rFonts w:ascii="Cambria" w:hAnsi="Cambria"/>
          <w:sz w:val="22"/>
          <w:szCs w:val="22"/>
        </w:rPr>
        <w:t>2018</w:t>
      </w:r>
      <w:r w:rsidR="003D3740" w:rsidRPr="00EB5116">
        <w:rPr>
          <w:rFonts w:ascii="Cambria" w:hAnsi="Cambria"/>
          <w:sz w:val="22"/>
          <w:szCs w:val="22"/>
        </w:rPr>
        <w:t>.</w:t>
      </w:r>
      <w:r w:rsidRPr="00EB5116">
        <w:rPr>
          <w:rFonts w:ascii="Cambria" w:hAnsi="Cambria"/>
          <w:sz w:val="22"/>
          <w:szCs w:val="22"/>
        </w:rPr>
        <w:t xml:space="preserve"> </w:t>
      </w:r>
      <w:r w:rsidR="004F62A4" w:rsidRPr="00EB5116">
        <w:rPr>
          <w:rFonts w:ascii="Cambria" w:hAnsi="Cambria"/>
          <w:sz w:val="22"/>
          <w:szCs w:val="22"/>
        </w:rPr>
        <w:t>“</w:t>
      </w:r>
      <w:r w:rsidRPr="00EB5116">
        <w:rPr>
          <w:rFonts w:ascii="Cambria" w:hAnsi="Cambria"/>
          <w:sz w:val="22"/>
          <w:szCs w:val="22"/>
        </w:rPr>
        <w:t>The growing impact of US monetary policy on emerging financial markets: Evidence from India</w:t>
      </w:r>
      <w:r w:rsidR="00B91829" w:rsidRPr="00EB5116">
        <w:rPr>
          <w:rFonts w:ascii="Cambria" w:hAnsi="Cambria"/>
          <w:sz w:val="22"/>
          <w:szCs w:val="22"/>
        </w:rPr>
        <w:t>.</w:t>
      </w:r>
      <w:r w:rsidR="008A15EA" w:rsidRPr="00EB5116">
        <w:rPr>
          <w:rFonts w:ascii="Cambria" w:hAnsi="Cambria"/>
          <w:sz w:val="22"/>
          <w:szCs w:val="22"/>
        </w:rPr>
        <w:t>”</w:t>
      </w:r>
      <w:r w:rsidR="00064CE4">
        <w:rPr>
          <w:rFonts w:ascii="Cambria" w:hAnsi="Cambria"/>
          <w:sz w:val="22"/>
          <w:szCs w:val="22"/>
        </w:rPr>
        <w:t xml:space="preserve"> </w:t>
      </w:r>
      <w:r w:rsidR="00064CE4">
        <w:rPr>
          <w:rFonts w:ascii="Cambria" w:hAnsi="Cambria"/>
          <w:i/>
          <w:iCs/>
          <w:sz w:val="22"/>
          <w:szCs w:val="22"/>
        </w:rPr>
        <w:t>Michigan State University Working Paper Series.</w:t>
      </w:r>
    </w:p>
    <w:p w14:paraId="211A6A7F" w14:textId="4B205554" w:rsidR="003A647C" w:rsidRPr="00EB5116" w:rsidRDefault="003A647C" w:rsidP="003A647C">
      <w:pPr>
        <w:pStyle w:val="NormalWeb"/>
        <w:rPr>
          <w:rFonts w:ascii="Cambria" w:hAnsi="Cambria"/>
          <w:sz w:val="22"/>
          <w:szCs w:val="22"/>
        </w:rPr>
      </w:pPr>
      <w:r w:rsidRPr="00EB5116">
        <w:rPr>
          <w:rFonts w:ascii="Cambria" w:hAnsi="Cambria"/>
          <w:sz w:val="22"/>
          <w:szCs w:val="22"/>
        </w:rPr>
        <w:t xml:space="preserve">Lakdawala, A. </w:t>
      </w:r>
      <w:r w:rsidR="00064CE4">
        <w:rPr>
          <w:rFonts w:ascii="Cambria" w:hAnsi="Cambria"/>
          <w:sz w:val="22"/>
          <w:szCs w:val="22"/>
        </w:rPr>
        <w:t>2019</w:t>
      </w:r>
      <w:r w:rsidR="006776CC" w:rsidRPr="00EB5116">
        <w:rPr>
          <w:rFonts w:ascii="Cambria" w:hAnsi="Cambria"/>
          <w:sz w:val="22"/>
          <w:szCs w:val="22"/>
        </w:rPr>
        <w:t>. “</w:t>
      </w:r>
      <w:r w:rsidRPr="00EB5116">
        <w:rPr>
          <w:rFonts w:ascii="Cambria" w:hAnsi="Cambria"/>
          <w:sz w:val="22"/>
          <w:szCs w:val="22"/>
        </w:rPr>
        <w:t xml:space="preserve">Decomposing the effects of monetary policy using an external instruments </w:t>
      </w:r>
      <w:proofErr w:type="spellStart"/>
      <w:r w:rsidRPr="00EB5116">
        <w:rPr>
          <w:rFonts w:ascii="Cambria" w:hAnsi="Cambria"/>
          <w:sz w:val="22"/>
          <w:szCs w:val="22"/>
        </w:rPr>
        <w:t>svar</w:t>
      </w:r>
      <w:proofErr w:type="spellEnd"/>
      <w:r w:rsidR="00BB338D"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Journal of Applied Econometrics</w:t>
      </w:r>
      <w:r w:rsidR="00064CE4">
        <w:rPr>
          <w:rFonts w:ascii="Cambria" w:hAnsi="Cambria"/>
          <w:sz w:val="22"/>
          <w:szCs w:val="22"/>
        </w:rPr>
        <w:t xml:space="preserve"> </w:t>
      </w:r>
      <w:r w:rsidR="00064CE4" w:rsidRPr="00064CE4">
        <w:rPr>
          <w:rFonts w:ascii="Cambria" w:hAnsi="Cambria"/>
          <w:sz w:val="22"/>
          <w:szCs w:val="22"/>
        </w:rPr>
        <w:t>34(6), 934-950.</w:t>
      </w:r>
    </w:p>
    <w:p w14:paraId="0D745CB6" w14:textId="789ED8A9" w:rsidR="003A647C" w:rsidRPr="00EB5116" w:rsidRDefault="003A647C" w:rsidP="003A647C">
      <w:pPr>
        <w:pStyle w:val="NormalWeb"/>
        <w:rPr>
          <w:rFonts w:ascii="Cambria" w:hAnsi="Cambria"/>
          <w:sz w:val="22"/>
          <w:szCs w:val="22"/>
        </w:rPr>
      </w:pPr>
      <w:r w:rsidRPr="00EB5116">
        <w:rPr>
          <w:rFonts w:ascii="Cambria" w:hAnsi="Cambria"/>
          <w:sz w:val="22"/>
          <w:szCs w:val="22"/>
        </w:rPr>
        <w:t xml:space="preserve">Mertens, K. &amp; </w:t>
      </w:r>
      <w:proofErr w:type="spellStart"/>
      <w:r w:rsidRPr="00EB5116">
        <w:rPr>
          <w:rFonts w:ascii="Cambria" w:hAnsi="Cambria"/>
          <w:sz w:val="22"/>
          <w:szCs w:val="22"/>
        </w:rPr>
        <w:t>Ravn</w:t>
      </w:r>
      <w:proofErr w:type="spellEnd"/>
      <w:r w:rsidRPr="00EB5116">
        <w:rPr>
          <w:rFonts w:ascii="Cambria" w:hAnsi="Cambria"/>
          <w:sz w:val="22"/>
          <w:szCs w:val="22"/>
        </w:rPr>
        <w:t>, M. O. 2013</w:t>
      </w:r>
      <w:r w:rsidR="00A671D0" w:rsidRPr="00EB5116">
        <w:rPr>
          <w:rFonts w:ascii="Cambria" w:hAnsi="Cambria"/>
          <w:sz w:val="22"/>
          <w:szCs w:val="22"/>
        </w:rPr>
        <w:t>.</w:t>
      </w:r>
      <w:r w:rsidRPr="00EB5116">
        <w:rPr>
          <w:rFonts w:ascii="Cambria" w:hAnsi="Cambria"/>
          <w:sz w:val="22"/>
          <w:szCs w:val="22"/>
        </w:rPr>
        <w:t xml:space="preserve"> </w:t>
      </w:r>
      <w:r w:rsidR="00A671D0" w:rsidRPr="00EB5116">
        <w:rPr>
          <w:rFonts w:ascii="Cambria" w:hAnsi="Cambria"/>
          <w:sz w:val="22"/>
          <w:szCs w:val="22"/>
        </w:rPr>
        <w:t>“</w:t>
      </w:r>
      <w:r w:rsidRPr="00EB5116">
        <w:rPr>
          <w:rFonts w:ascii="Cambria" w:hAnsi="Cambria"/>
          <w:sz w:val="22"/>
          <w:szCs w:val="22"/>
        </w:rPr>
        <w:t>The dynamic effects of personal and corporate income tax changes in the united states</w:t>
      </w:r>
      <w:r w:rsidR="0006426F"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The American Economic Review </w:t>
      </w:r>
      <w:r w:rsidRPr="00EB5116">
        <w:rPr>
          <w:rFonts w:ascii="Cambria" w:hAnsi="Cambria"/>
          <w:sz w:val="22"/>
          <w:szCs w:val="22"/>
        </w:rPr>
        <w:t xml:space="preserve">103(4), 1212–1247. </w:t>
      </w:r>
    </w:p>
    <w:p w14:paraId="44156C09" w14:textId="6C887570" w:rsidR="003A647C" w:rsidRPr="00064CE4" w:rsidRDefault="003A647C" w:rsidP="003A647C">
      <w:pPr>
        <w:pStyle w:val="NormalWeb"/>
        <w:rPr>
          <w:rFonts w:ascii="Cambria" w:hAnsi="Cambria"/>
          <w:i/>
          <w:iCs/>
          <w:sz w:val="22"/>
          <w:szCs w:val="22"/>
        </w:rPr>
      </w:pPr>
      <w:r w:rsidRPr="00EB5116">
        <w:rPr>
          <w:rFonts w:ascii="Cambria" w:hAnsi="Cambria"/>
          <w:sz w:val="22"/>
          <w:szCs w:val="22"/>
        </w:rPr>
        <w:t>Miranda-</w:t>
      </w:r>
      <w:proofErr w:type="spellStart"/>
      <w:r w:rsidRPr="00EB5116">
        <w:rPr>
          <w:rFonts w:ascii="Cambria" w:hAnsi="Cambria"/>
          <w:sz w:val="22"/>
          <w:szCs w:val="22"/>
        </w:rPr>
        <w:t>Agrippino</w:t>
      </w:r>
      <w:proofErr w:type="spellEnd"/>
      <w:r w:rsidRPr="00EB5116">
        <w:rPr>
          <w:rFonts w:ascii="Cambria" w:hAnsi="Cambria"/>
          <w:sz w:val="22"/>
          <w:szCs w:val="22"/>
        </w:rPr>
        <w:t>, S. &amp; Rey, H. 2018</w:t>
      </w:r>
      <w:r w:rsidR="00EE0AFD" w:rsidRPr="00EB5116">
        <w:rPr>
          <w:rFonts w:ascii="Cambria" w:hAnsi="Cambria"/>
          <w:sz w:val="22"/>
          <w:szCs w:val="22"/>
        </w:rPr>
        <w:t>.</w:t>
      </w:r>
      <w:r w:rsidRPr="00EB5116">
        <w:rPr>
          <w:rFonts w:ascii="Cambria" w:hAnsi="Cambria"/>
          <w:sz w:val="22"/>
          <w:szCs w:val="22"/>
        </w:rPr>
        <w:t xml:space="preserve"> </w:t>
      </w:r>
      <w:r w:rsidR="00EE0AFD" w:rsidRPr="00EB5116">
        <w:rPr>
          <w:rFonts w:ascii="Cambria" w:hAnsi="Cambria"/>
          <w:sz w:val="22"/>
          <w:szCs w:val="22"/>
        </w:rPr>
        <w:t>“</w:t>
      </w:r>
      <w:r w:rsidRPr="00EB5116">
        <w:rPr>
          <w:rFonts w:ascii="Cambria" w:hAnsi="Cambria"/>
          <w:sz w:val="22"/>
          <w:szCs w:val="22"/>
        </w:rPr>
        <w:t>U</w:t>
      </w:r>
      <w:r w:rsidR="003F10C6" w:rsidRPr="00EB5116">
        <w:rPr>
          <w:rFonts w:ascii="Cambria" w:hAnsi="Cambria"/>
          <w:sz w:val="22"/>
          <w:szCs w:val="22"/>
        </w:rPr>
        <w:t>S</w:t>
      </w:r>
      <w:r w:rsidRPr="00EB5116">
        <w:rPr>
          <w:rFonts w:ascii="Cambria" w:hAnsi="Cambria"/>
          <w:sz w:val="22"/>
          <w:szCs w:val="22"/>
        </w:rPr>
        <w:t xml:space="preserve"> monetary policy and the global financial cycle</w:t>
      </w:r>
      <w:r w:rsidR="00162EE2" w:rsidRPr="00EB5116">
        <w:rPr>
          <w:rFonts w:ascii="Cambria" w:hAnsi="Cambria"/>
          <w:sz w:val="22"/>
          <w:szCs w:val="22"/>
        </w:rPr>
        <w:t>.”</w:t>
      </w:r>
      <w:r w:rsidRPr="00EB5116">
        <w:rPr>
          <w:rFonts w:ascii="Cambria" w:hAnsi="Cambria"/>
          <w:sz w:val="22"/>
          <w:szCs w:val="22"/>
        </w:rPr>
        <w:t xml:space="preserve"> </w:t>
      </w:r>
      <w:r w:rsidR="00064CE4" w:rsidRPr="00064CE4">
        <w:rPr>
          <w:rFonts w:ascii="Cambria" w:hAnsi="Cambria"/>
          <w:sz w:val="22"/>
          <w:szCs w:val="22"/>
        </w:rPr>
        <w:t>NBER Working Paper No. 21722</w:t>
      </w:r>
    </w:p>
    <w:p w14:paraId="08447FF3" w14:textId="0851CAB6" w:rsidR="006477EF" w:rsidRPr="00EB5116" w:rsidRDefault="006477EF" w:rsidP="006477EF">
      <w:pPr>
        <w:pStyle w:val="NormalWeb"/>
        <w:rPr>
          <w:rFonts w:ascii="Cambria" w:hAnsi="Cambria"/>
          <w:sz w:val="22"/>
          <w:szCs w:val="22"/>
        </w:rPr>
      </w:pPr>
      <w:r w:rsidRPr="00EB5116">
        <w:rPr>
          <w:rFonts w:ascii="Cambria" w:hAnsi="Cambria"/>
          <w:sz w:val="22"/>
          <w:szCs w:val="22"/>
        </w:rPr>
        <w:t xml:space="preserve">Mishra, P., Montiel, P. &amp; Sengupta, R. 2016. “Monetary transmission in developing countries: Evidence from </w:t>
      </w:r>
      <w:r w:rsidR="00DE2012" w:rsidRPr="00EB5116">
        <w:rPr>
          <w:rFonts w:ascii="Cambria" w:hAnsi="Cambria"/>
          <w:sz w:val="22"/>
          <w:szCs w:val="22"/>
        </w:rPr>
        <w:t>I</w:t>
      </w:r>
      <w:r w:rsidRPr="00EB5116">
        <w:rPr>
          <w:rFonts w:ascii="Cambria" w:hAnsi="Cambria"/>
          <w:sz w:val="22"/>
          <w:szCs w:val="22"/>
        </w:rPr>
        <w:t>ndia</w:t>
      </w:r>
      <w:r w:rsidR="00DE2012"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in </w:t>
      </w:r>
      <w:r w:rsidRPr="00EB5116">
        <w:rPr>
          <w:rFonts w:ascii="Cambria" w:hAnsi="Cambria"/>
          <w:sz w:val="22"/>
          <w:szCs w:val="22"/>
        </w:rPr>
        <w:t xml:space="preserve">‘Monetary Policy in India’, Springer, pp. 59–110. </w:t>
      </w:r>
    </w:p>
    <w:p w14:paraId="46ED40AE" w14:textId="3C8A785D" w:rsidR="006477EF" w:rsidRPr="00EB5116" w:rsidRDefault="006477EF" w:rsidP="006477EF">
      <w:pPr>
        <w:pStyle w:val="NormalWeb"/>
        <w:rPr>
          <w:rFonts w:ascii="Cambria" w:hAnsi="Cambria"/>
          <w:sz w:val="22"/>
          <w:szCs w:val="22"/>
        </w:rPr>
      </w:pPr>
      <w:r w:rsidRPr="00EB5116">
        <w:rPr>
          <w:rFonts w:ascii="Cambria" w:hAnsi="Cambria"/>
          <w:sz w:val="22"/>
          <w:szCs w:val="22"/>
        </w:rPr>
        <w:t xml:space="preserve">Nakamura, E. &amp; </w:t>
      </w:r>
      <w:proofErr w:type="spellStart"/>
      <w:r w:rsidRPr="00EB5116">
        <w:rPr>
          <w:rFonts w:ascii="Cambria" w:hAnsi="Cambria"/>
          <w:sz w:val="22"/>
          <w:szCs w:val="22"/>
        </w:rPr>
        <w:t>Steinsson</w:t>
      </w:r>
      <w:proofErr w:type="spellEnd"/>
      <w:r w:rsidRPr="00EB5116">
        <w:rPr>
          <w:rFonts w:ascii="Cambria" w:hAnsi="Cambria"/>
          <w:sz w:val="22"/>
          <w:szCs w:val="22"/>
        </w:rPr>
        <w:t>, J. 2018</w:t>
      </w:r>
      <w:r w:rsidR="00C21A96" w:rsidRPr="00EB5116">
        <w:rPr>
          <w:rFonts w:ascii="Cambria" w:hAnsi="Cambria"/>
          <w:sz w:val="22"/>
          <w:szCs w:val="22"/>
        </w:rPr>
        <w:t>.</w:t>
      </w:r>
      <w:r w:rsidRPr="00EB5116">
        <w:rPr>
          <w:rFonts w:ascii="Cambria" w:hAnsi="Cambria"/>
          <w:sz w:val="22"/>
          <w:szCs w:val="22"/>
        </w:rPr>
        <w:t xml:space="preserve"> </w:t>
      </w:r>
      <w:r w:rsidR="00C21A96" w:rsidRPr="00EB5116">
        <w:rPr>
          <w:rFonts w:ascii="Cambria" w:hAnsi="Cambria"/>
          <w:sz w:val="22"/>
          <w:szCs w:val="22"/>
        </w:rPr>
        <w:t>“</w:t>
      </w:r>
      <w:r w:rsidRPr="00EB5116">
        <w:rPr>
          <w:rFonts w:ascii="Cambria" w:hAnsi="Cambria"/>
          <w:sz w:val="22"/>
          <w:szCs w:val="22"/>
        </w:rPr>
        <w:t>High frequency identification of monetary non-neutrality</w:t>
      </w:r>
      <w:r w:rsidR="00861A25"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The Quarterly Journal of Economics </w:t>
      </w:r>
      <w:r w:rsidRPr="00EB5116">
        <w:rPr>
          <w:rFonts w:ascii="Cambria" w:hAnsi="Cambria"/>
          <w:sz w:val="22"/>
          <w:szCs w:val="22"/>
        </w:rPr>
        <w:t xml:space="preserve">133(3), 1283–1330. </w:t>
      </w:r>
    </w:p>
    <w:p w14:paraId="16D71DEB" w14:textId="5D9002F3" w:rsidR="006477EF" w:rsidRPr="00EB5116" w:rsidRDefault="006477EF" w:rsidP="006477EF">
      <w:pPr>
        <w:pStyle w:val="NormalWeb"/>
        <w:rPr>
          <w:rFonts w:ascii="Cambria" w:hAnsi="Cambria"/>
          <w:sz w:val="22"/>
          <w:szCs w:val="22"/>
        </w:rPr>
      </w:pPr>
      <w:r w:rsidRPr="00EB5116">
        <w:rPr>
          <w:rFonts w:ascii="Cambria" w:hAnsi="Cambria"/>
          <w:sz w:val="22"/>
          <w:szCs w:val="22"/>
        </w:rPr>
        <w:t>Obstfeld, M. 2019</w:t>
      </w:r>
      <w:r w:rsidR="00DB79BC" w:rsidRPr="00EB5116">
        <w:rPr>
          <w:rFonts w:ascii="Cambria" w:hAnsi="Cambria"/>
          <w:sz w:val="22"/>
          <w:szCs w:val="22"/>
        </w:rPr>
        <w:t>. “</w:t>
      </w:r>
      <w:r w:rsidRPr="00EB5116">
        <w:rPr>
          <w:rFonts w:ascii="Cambria" w:hAnsi="Cambria"/>
          <w:sz w:val="22"/>
          <w:szCs w:val="22"/>
        </w:rPr>
        <w:t xml:space="preserve">Global dimensions of </w:t>
      </w:r>
      <w:r w:rsidR="00964AB0" w:rsidRPr="00EB5116">
        <w:rPr>
          <w:rFonts w:ascii="Cambria" w:hAnsi="Cambria"/>
          <w:sz w:val="22"/>
          <w:szCs w:val="22"/>
        </w:rPr>
        <w:t>US</w:t>
      </w:r>
      <w:r w:rsidRPr="00EB5116">
        <w:rPr>
          <w:rFonts w:ascii="Cambria" w:hAnsi="Cambria"/>
          <w:sz w:val="22"/>
          <w:szCs w:val="22"/>
        </w:rPr>
        <w:t xml:space="preserve"> monetary policy</w:t>
      </w:r>
      <w:r w:rsidR="00A10EDE" w:rsidRPr="00EB5116">
        <w:rPr>
          <w:rFonts w:ascii="Cambria" w:hAnsi="Cambria"/>
          <w:sz w:val="22"/>
          <w:szCs w:val="22"/>
        </w:rPr>
        <w:t>,”</w:t>
      </w:r>
      <w:r w:rsidRPr="00EB5116">
        <w:rPr>
          <w:rFonts w:ascii="Cambria" w:hAnsi="Cambria"/>
          <w:sz w:val="22"/>
          <w:szCs w:val="22"/>
        </w:rPr>
        <w:t xml:space="preserve"> Technical report, Conference on Monetary Policy Strategy, Tools, and Communication Practices at the Chicago Fed. </w:t>
      </w:r>
    </w:p>
    <w:p w14:paraId="55A37784" w14:textId="3B6D112D" w:rsidR="006477EF" w:rsidRPr="00064CE4" w:rsidRDefault="006477EF" w:rsidP="006477EF">
      <w:pPr>
        <w:pStyle w:val="NormalWeb"/>
        <w:rPr>
          <w:rFonts w:ascii="Cambria" w:hAnsi="Cambria"/>
          <w:i/>
          <w:iCs/>
          <w:sz w:val="22"/>
          <w:szCs w:val="22"/>
        </w:rPr>
      </w:pPr>
      <w:proofErr w:type="spellStart"/>
      <w:r w:rsidRPr="00EB5116">
        <w:rPr>
          <w:rFonts w:ascii="Cambria" w:hAnsi="Cambria"/>
          <w:sz w:val="22"/>
          <w:szCs w:val="22"/>
        </w:rPr>
        <w:t>Plagborg-Møller</w:t>
      </w:r>
      <w:proofErr w:type="spellEnd"/>
      <w:r w:rsidRPr="00EB5116">
        <w:rPr>
          <w:rFonts w:ascii="Cambria" w:hAnsi="Cambria"/>
          <w:sz w:val="22"/>
          <w:szCs w:val="22"/>
        </w:rPr>
        <w:t>, M. &amp; Wolf, C. K. 2019</w:t>
      </w:r>
      <w:r w:rsidR="00703F59" w:rsidRPr="00EB5116">
        <w:rPr>
          <w:rFonts w:ascii="Cambria" w:hAnsi="Cambria"/>
          <w:sz w:val="22"/>
          <w:szCs w:val="22"/>
        </w:rPr>
        <w:t>.</w:t>
      </w:r>
      <w:r w:rsidRPr="00EB5116">
        <w:rPr>
          <w:rFonts w:ascii="Cambria" w:hAnsi="Cambria"/>
          <w:sz w:val="22"/>
          <w:szCs w:val="22"/>
        </w:rPr>
        <w:t xml:space="preserve"> </w:t>
      </w:r>
      <w:r w:rsidR="00703F59" w:rsidRPr="00EB5116">
        <w:rPr>
          <w:rFonts w:ascii="Cambria" w:hAnsi="Cambria"/>
          <w:sz w:val="22"/>
          <w:szCs w:val="22"/>
        </w:rPr>
        <w:t>“</w:t>
      </w:r>
      <w:r w:rsidRPr="00EB5116">
        <w:rPr>
          <w:rFonts w:ascii="Cambria" w:hAnsi="Cambria"/>
          <w:sz w:val="22"/>
          <w:szCs w:val="22"/>
        </w:rPr>
        <w:t>Local projections and vars estimate the same impulse responses</w:t>
      </w:r>
      <w:r w:rsidR="005856B0" w:rsidRPr="00EB5116">
        <w:rPr>
          <w:rFonts w:ascii="Cambria" w:hAnsi="Cambria"/>
          <w:sz w:val="22"/>
          <w:szCs w:val="22"/>
        </w:rPr>
        <w:t>.”</w:t>
      </w:r>
      <w:r w:rsidRPr="00EB5116">
        <w:rPr>
          <w:rFonts w:ascii="Cambria" w:hAnsi="Cambria"/>
          <w:sz w:val="22"/>
          <w:szCs w:val="22"/>
        </w:rPr>
        <w:t xml:space="preserve"> </w:t>
      </w:r>
      <w:r w:rsidR="00064CE4">
        <w:rPr>
          <w:rFonts w:ascii="Cambria" w:hAnsi="Cambria"/>
          <w:i/>
          <w:iCs/>
          <w:sz w:val="22"/>
          <w:szCs w:val="22"/>
        </w:rPr>
        <w:t>Working Paper.</w:t>
      </w:r>
    </w:p>
    <w:p w14:paraId="7B2CF72A" w14:textId="6238CC22" w:rsidR="006477EF" w:rsidRPr="00EB5116" w:rsidRDefault="006477EF" w:rsidP="006477EF">
      <w:pPr>
        <w:pStyle w:val="NormalWeb"/>
        <w:rPr>
          <w:rFonts w:ascii="Cambria" w:hAnsi="Cambria"/>
          <w:sz w:val="22"/>
          <w:szCs w:val="22"/>
        </w:rPr>
      </w:pPr>
      <w:proofErr w:type="spellStart"/>
      <w:r w:rsidRPr="00EB5116">
        <w:rPr>
          <w:rFonts w:ascii="Cambria" w:hAnsi="Cambria"/>
          <w:sz w:val="22"/>
          <w:szCs w:val="22"/>
        </w:rPr>
        <w:lastRenderedPageBreak/>
        <w:t>Rajan</w:t>
      </w:r>
      <w:proofErr w:type="spellEnd"/>
      <w:r w:rsidRPr="00EB5116">
        <w:rPr>
          <w:rFonts w:ascii="Cambria" w:hAnsi="Cambria"/>
          <w:sz w:val="22"/>
          <w:szCs w:val="22"/>
        </w:rPr>
        <w:t>, R. 2015</w:t>
      </w:r>
      <w:r w:rsidR="00C165D7" w:rsidRPr="00EB5116">
        <w:rPr>
          <w:rFonts w:ascii="Cambria" w:hAnsi="Cambria"/>
          <w:sz w:val="22"/>
          <w:szCs w:val="22"/>
        </w:rPr>
        <w:t>.</w:t>
      </w:r>
      <w:r w:rsidRPr="00EB5116">
        <w:rPr>
          <w:rFonts w:ascii="Cambria" w:hAnsi="Cambria"/>
          <w:sz w:val="22"/>
          <w:szCs w:val="22"/>
        </w:rPr>
        <w:t xml:space="preserve"> </w:t>
      </w:r>
      <w:r w:rsidR="00C165D7" w:rsidRPr="00EB5116">
        <w:rPr>
          <w:rFonts w:ascii="Cambria" w:hAnsi="Cambria"/>
          <w:sz w:val="22"/>
          <w:szCs w:val="22"/>
        </w:rPr>
        <w:t>“</w:t>
      </w:r>
      <w:r w:rsidRPr="00EB5116">
        <w:rPr>
          <w:rFonts w:ascii="Cambria" w:hAnsi="Cambria"/>
          <w:sz w:val="22"/>
          <w:szCs w:val="22"/>
        </w:rPr>
        <w:t xml:space="preserve">Competitive monetary easing: is it yesterday once </w:t>
      </w:r>
      <w:r w:rsidR="00E91F55" w:rsidRPr="00EB5116">
        <w:rPr>
          <w:rFonts w:ascii="Cambria" w:hAnsi="Cambria"/>
          <w:sz w:val="22"/>
          <w:szCs w:val="22"/>
        </w:rPr>
        <w:t>more?</w:t>
      </w:r>
      <w:r w:rsidR="00D40356" w:rsidRPr="00EB5116">
        <w:rPr>
          <w:rFonts w:ascii="Cambria" w:hAnsi="Cambria"/>
          <w:sz w:val="22"/>
          <w:szCs w:val="22"/>
        </w:rPr>
        <w:t xml:space="preserve">” </w:t>
      </w:r>
      <w:r w:rsidRPr="00EB5116">
        <w:rPr>
          <w:rFonts w:ascii="Cambria" w:hAnsi="Cambria"/>
          <w:i/>
          <w:iCs/>
          <w:sz w:val="22"/>
          <w:szCs w:val="22"/>
        </w:rPr>
        <w:t xml:space="preserve">Macroeconomics and Finance in Emerging Market Economies </w:t>
      </w:r>
      <w:r w:rsidRPr="00EB5116">
        <w:rPr>
          <w:rFonts w:ascii="Cambria" w:hAnsi="Cambria"/>
          <w:sz w:val="22"/>
          <w:szCs w:val="22"/>
        </w:rPr>
        <w:t xml:space="preserve">8(1-2), </w:t>
      </w:r>
      <w:r w:rsidR="0008149F">
        <w:rPr>
          <w:rFonts w:ascii="Cambria" w:hAnsi="Cambria"/>
          <w:sz w:val="22"/>
          <w:szCs w:val="22"/>
        </w:rPr>
        <w:t xml:space="preserve">pp. </w:t>
      </w:r>
      <w:r w:rsidRPr="00EB5116">
        <w:rPr>
          <w:rFonts w:ascii="Cambria" w:hAnsi="Cambria"/>
          <w:sz w:val="22"/>
          <w:szCs w:val="22"/>
        </w:rPr>
        <w:t xml:space="preserve">5–16. </w:t>
      </w:r>
    </w:p>
    <w:p w14:paraId="0712FBE6" w14:textId="656CA944" w:rsidR="006477EF" w:rsidRPr="00EB5116" w:rsidRDefault="006477EF" w:rsidP="006477EF">
      <w:pPr>
        <w:pStyle w:val="NormalWeb"/>
        <w:rPr>
          <w:rFonts w:ascii="Cambria" w:hAnsi="Cambria"/>
          <w:sz w:val="22"/>
          <w:szCs w:val="22"/>
        </w:rPr>
      </w:pPr>
      <w:r w:rsidRPr="00EB5116">
        <w:rPr>
          <w:rFonts w:ascii="Cambria" w:hAnsi="Cambria"/>
          <w:sz w:val="22"/>
          <w:szCs w:val="22"/>
        </w:rPr>
        <w:t>Ramey, V. A. 2016</w:t>
      </w:r>
      <w:r w:rsidR="00B97FDE" w:rsidRPr="00EB5116">
        <w:rPr>
          <w:rFonts w:ascii="Cambria" w:hAnsi="Cambria"/>
          <w:sz w:val="22"/>
          <w:szCs w:val="22"/>
        </w:rPr>
        <w:t>.</w:t>
      </w:r>
      <w:r w:rsidRPr="00EB5116">
        <w:rPr>
          <w:rFonts w:ascii="Cambria" w:hAnsi="Cambria"/>
          <w:sz w:val="22"/>
          <w:szCs w:val="22"/>
        </w:rPr>
        <w:t xml:space="preserve"> </w:t>
      </w:r>
      <w:r w:rsidR="00B97FDE" w:rsidRPr="00EB5116">
        <w:rPr>
          <w:rFonts w:ascii="Cambria" w:hAnsi="Cambria"/>
          <w:sz w:val="22"/>
          <w:szCs w:val="22"/>
        </w:rPr>
        <w:t>“</w:t>
      </w:r>
      <w:r w:rsidRPr="00EB5116">
        <w:rPr>
          <w:rFonts w:ascii="Cambria" w:hAnsi="Cambria"/>
          <w:sz w:val="22"/>
          <w:szCs w:val="22"/>
        </w:rPr>
        <w:t>Macroeconomic shocks and their propagation,</w:t>
      </w:r>
      <w:r w:rsidR="00FE0DBC"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in </w:t>
      </w:r>
      <w:r w:rsidRPr="00EB5116">
        <w:rPr>
          <w:rFonts w:ascii="Cambria" w:hAnsi="Cambria"/>
          <w:sz w:val="22"/>
          <w:szCs w:val="22"/>
        </w:rPr>
        <w:t xml:space="preserve">‘Handbook of macroeconomics’, Vol. 2, Elsevier, pp. 71–162. </w:t>
      </w:r>
    </w:p>
    <w:p w14:paraId="7E5660EC" w14:textId="555BB182" w:rsidR="006477EF" w:rsidRPr="00EB5116" w:rsidRDefault="006477EF" w:rsidP="006477EF">
      <w:pPr>
        <w:pStyle w:val="NormalWeb"/>
        <w:rPr>
          <w:rFonts w:ascii="Cambria" w:hAnsi="Cambria"/>
          <w:sz w:val="22"/>
          <w:szCs w:val="22"/>
        </w:rPr>
      </w:pPr>
      <w:r w:rsidRPr="00EB5116">
        <w:rPr>
          <w:rFonts w:ascii="Cambria" w:hAnsi="Cambria"/>
          <w:sz w:val="22"/>
          <w:szCs w:val="22"/>
        </w:rPr>
        <w:t xml:space="preserve">Ramey, V. A. &amp; </w:t>
      </w:r>
      <w:proofErr w:type="spellStart"/>
      <w:r w:rsidRPr="00EB5116">
        <w:rPr>
          <w:rFonts w:ascii="Cambria" w:hAnsi="Cambria"/>
          <w:sz w:val="22"/>
          <w:szCs w:val="22"/>
        </w:rPr>
        <w:t>Zubairy</w:t>
      </w:r>
      <w:proofErr w:type="spellEnd"/>
      <w:r w:rsidRPr="00EB5116">
        <w:rPr>
          <w:rFonts w:ascii="Cambria" w:hAnsi="Cambria"/>
          <w:sz w:val="22"/>
          <w:szCs w:val="22"/>
        </w:rPr>
        <w:t>, S.</w:t>
      </w:r>
      <w:r w:rsidR="005A4472" w:rsidRPr="00EB5116">
        <w:rPr>
          <w:rFonts w:ascii="Cambria" w:hAnsi="Cambria"/>
          <w:sz w:val="22"/>
          <w:szCs w:val="22"/>
        </w:rPr>
        <w:t xml:space="preserve">  </w:t>
      </w:r>
      <w:r w:rsidRPr="00EB5116">
        <w:rPr>
          <w:rFonts w:ascii="Cambria" w:hAnsi="Cambria"/>
          <w:sz w:val="22"/>
          <w:szCs w:val="22"/>
        </w:rPr>
        <w:t>2018</w:t>
      </w:r>
      <w:r w:rsidR="005A4472" w:rsidRPr="00EB5116">
        <w:rPr>
          <w:rFonts w:ascii="Cambria" w:hAnsi="Cambria"/>
          <w:sz w:val="22"/>
          <w:szCs w:val="22"/>
        </w:rPr>
        <w:t>.</w:t>
      </w:r>
      <w:r w:rsidRPr="00EB5116">
        <w:rPr>
          <w:rFonts w:ascii="Cambria" w:hAnsi="Cambria"/>
          <w:sz w:val="22"/>
          <w:szCs w:val="22"/>
        </w:rPr>
        <w:t xml:space="preserve"> </w:t>
      </w:r>
      <w:r w:rsidR="005A4472" w:rsidRPr="00EB5116">
        <w:rPr>
          <w:rFonts w:ascii="Cambria" w:hAnsi="Cambria"/>
          <w:sz w:val="22"/>
          <w:szCs w:val="22"/>
        </w:rPr>
        <w:t>“</w:t>
      </w:r>
      <w:r w:rsidRPr="00EB5116">
        <w:rPr>
          <w:rFonts w:ascii="Cambria" w:hAnsi="Cambria"/>
          <w:sz w:val="22"/>
          <w:szCs w:val="22"/>
        </w:rPr>
        <w:t>Government spending multipliers in good times and in bad: evidence from us historical data</w:t>
      </w:r>
      <w:r w:rsidR="001A60EE"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Journal of Political Economy </w:t>
      </w:r>
      <w:r w:rsidRPr="00EB5116">
        <w:rPr>
          <w:rFonts w:ascii="Cambria" w:hAnsi="Cambria"/>
          <w:sz w:val="22"/>
          <w:szCs w:val="22"/>
        </w:rPr>
        <w:t xml:space="preserve">126(2), </w:t>
      </w:r>
      <w:r w:rsidR="0008149F">
        <w:rPr>
          <w:rFonts w:ascii="Cambria" w:hAnsi="Cambria"/>
          <w:sz w:val="22"/>
          <w:szCs w:val="22"/>
        </w:rPr>
        <w:t xml:space="preserve">pp. </w:t>
      </w:r>
      <w:r w:rsidRPr="00EB5116">
        <w:rPr>
          <w:rFonts w:ascii="Cambria" w:hAnsi="Cambria"/>
          <w:sz w:val="22"/>
          <w:szCs w:val="22"/>
        </w:rPr>
        <w:t xml:space="preserve">850–901. </w:t>
      </w:r>
    </w:p>
    <w:p w14:paraId="52D12AAE" w14:textId="130BC4B7" w:rsidR="006477EF" w:rsidRPr="00EB5116" w:rsidRDefault="006477EF" w:rsidP="006477EF">
      <w:pPr>
        <w:pStyle w:val="NormalWeb"/>
        <w:rPr>
          <w:rFonts w:ascii="Cambria" w:hAnsi="Cambria"/>
          <w:sz w:val="22"/>
          <w:szCs w:val="22"/>
        </w:rPr>
      </w:pPr>
      <w:r w:rsidRPr="00EB5116">
        <w:rPr>
          <w:rFonts w:ascii="Cambria" w:hAnsi="Cambria"/>
          <w:sz w:val="22"/>
          <w:szCs w:val="22"/>
        </w:rPr>
        <w:t>Rey, H. 2015</w:t>
      </w:r>
      <w:r w:rsidR="006B028E" w:rsidRPr="00EB5116">
        <w:rPr>
          <w:rFonts w:ascii="Cambria" w:hAnsi="Cambria"/>
          <w:sz w:val="22"/>
          <w:szCs w:val="22"/>
        </w:rPr>
        <w:t>. “</w:t>
      </w:r>
      <w:r w:rsidRPr="00EB5116">
        <w:rPr>
          <w:rFonts w:ascii="Cambria" w:hAnsi="Cambria"/>
          <w:sz w:val="22"/>
          <w:szCs w:val="22"/>
        </w:rPr>
        <w:t>Dilemma not trilemma: The global financial cycle and monetary policy independence,</w:t>
      </w:r>
      <w:r w:rsidR="00A50F0C" w:rsidRPr="00EB5116">
        <w:rPr>
          <w:rFonts w:ascii="Cambria" w:hAnsi="Cambria"/>
          <w:sz w:val="22"/>
          <w:szCs w:val="22"/>
        </w:rPr>
        <w:t>”</w:t>
      </w:r>
      <w:r w:rsidRPr="00EB5116">
        <w:rPr>
          <w:rFonts w:ascii="Cambria" w:hAnsi="Cambria"/>
          <w:sz w:val="22"/>
          <w:szCs w:val="22"/>
        </w:rPr>
        <w:t xml:space="preserve"> Technical report, National Bureau of Economic Research. </w:t>
      </w:r>
    </w:p>
    <w:p w14:paraId="3D5F333F" w14:textId="0D12BF05" w:rsidR="006477EF" w:rsidRPr="00EB5116" w:rsidRDefault="006477EF" w:rsidP="006477EF">
      <w:pPr>
        <w:pStyle w:val="NormalWeb"/>
        <w:rPr>
          <w:rFonts w:ascii="Cambria" w:hAnsi="Cambria"/>
          <w:sz w:val="22"/>
          <w:szCs w:val="22"/>
        </w:rPr>
      </w:pPr>
      <w:r w:rsidRPr="00EB5116">
        <w:rPr>
          <w:rFonts w:ascii="Cambria" w:hAnsi="Cambria"/>
          <w:sz w:val="22"/>
          <w:szCs w:val="22"/>
        </w:rPr>
        <w:t>Shin, H. S. 2014</w:t>
      </w:r>
      <w:r w:rsidR="00581D69" w:rsidRPr="00EB5116">
        <w:rPr>
          <w:rFonts w:ascii="Cambria" w:hAnsi="Cambria"/>
          <w:sz w:val="22"/>
          <w:szCs w:val="22"/>
        </w:rPr>
        <w:t>.</w:t>
      </w:r>
      <w:r w:rsidRPr="00EB5116">
        <w:rPr>
          <w:rFonts w:ascii="Cambria" w:hAnsi="Cambria"/>
          <w:sz w:val="22"/>
          <w:szCs w:val="22"/>
        </w:rPr>
        <w:t xml:space="preserve"> </w:t>
      </w:r>
      <w:r w:rsidR="00344D4D" w:rsidRPr="00EB5116">
        <w:rPr>
          <w:rFonts w:ascii="Cambria" w:hAnsi="Cambria"/>
          <w:sz w:val="22"/>
          <w:szCs w:val="22"/>
        </w:rPr>
        <w:t>“</w:t>
      </w:r>
      <w:r w:rsidRPr="00EB5116">
        <w:rPr>
          <w:rFonts w:ascii="Cambria" w:hAnsi="Cambria"/>
          <w:sz w:val="22"/>
          <w:szCs w:val="22"/>
        </w:rPr>
        <w:t>The second phase of global liquidity and its impact on emerging economies,</w:t>
      </w:r>
      <w:r w:rsidR="00FD6380" w:rsidRPr="00EB5116">
        <w:rPr>
          <w:rFonts w:ascii="Cambria" w:hAnsi="Cambria"/>
          <w:sz w:val="22"/>
          <w:szCs w:val="22"/>
        </w:rPr>
        <w:t xml:space="preserve">” </w:t>
      </w:r>
      <w:r w:rsidRPr="00EB5116">
        <w:rPr>
          <w:rFonts w:ascii="Cambria" w:hAnsi="Cambria"/>
          <w:i/>
          <w:iCs/>
          <w:sz w:val="22"/>
          <w:szCs w:val="22"/>
        </w:rPr>
        <w:t xml:space="preserve">in </w:t>
      </w:r>
      <w:r w:rsidRPr="00EB5116">
        <w:rPr>
          <w:rFonts w:ascii="Cambria" w:hAnsi="Cambria"/>
          <w:sz w:val="22"/>
          <w:szCs w:val="22"/>
        </w:rPr>
        <w:t xml:space="preserve">‘Volatile Capital Flows in Korea’, Springer, pp. 247–257. </w:t>
      </w:r>
    </w:p>
    <w:p w14:paraId="083DD028" w14:textId="5FCA450E" w:rsidR="006477EF" w:rsidRPr="00EB5116" w:rsidRDefault="006477EF" w:rsidP="006477EF">
      <w:pPr>
        <w:pStyle w:val="NormalWeb"/>
        <w:rPr>
          <w:rFonts w:ascii="Cambria" w:hAnsi="Cambria"/>
          <w:sz w:val="22"/>
          <w:szCs w:val="22"/>
        </w:rPr>
      </w:pPr>
      <w:r w:rsidRPr="00EB5116">
        <w:rPr>
          <w:rFonts w:ascii="Cambria" w:hAnsi="Cambria"/>
          <w:sz w:val="22"/>
          <w:szCs w:val="22"/>
        </w:rPr>
        <w:t>Stock, J. H. &amp; Watson, M. 2002</w:t>
      </w:r>
      <w:r w:rsidR="004D0183" w:rsidRPr="00EB5116">
        <w:rPr>
          <w:rFonts w:ascii="Cambria" w:hAnsi="Cambria"/>
          <w:sz w:val="22"/>
          <w:szCs w:val="22"/>
        </w:rPr>
        <w:t>.</w:t>
      </w:r>
      <w:r w:rsidR="00E05E84" w:rsidRPr="00EB5116">
        <w:rPr>
          <w:rFonts w:ascii="Cambria" w:hAnsi="Cambria"/>
          <w:sz w:val="22"/>
          <w:szCs w:val="22"/>
        </w:rPr>
        <w:t xml:space="preserve"> </w:t>
      </w:r>
      <w:r w:rsidR="00A0721D" w:rsidRPr="00EB5116">
        <w:rPr>
          <w:rFonts w:ascii="Cambria" w:hAnsi="Cambria"/>
          <w:sz w:val="22"/>
          <w:szCs w:val="22"/>
        </w:rPr>
        <w:t>“</w:t>
      </w:r>
      <w:r w:rsidRPr="00EB5116">
        <w:rPr>
          <w:rFonts w:ascii="Cambria" w:hAnsi="Cambria"/>
          <w:sz w:val="22"/>
          <w:szCs w:val="22"/>
        </w:rPr>
        <w:t>Disentangling the channels of the 2007-09 recession</w:t>
      </w:r>
      <w:r w:rsidR="00DA683C"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Brookings Papers on Economic Activity: Spring 2012 </w:t>
      </w:r>
      <w:r w:rsidRPr="00EB5116">
        <w:rPr>
          <w:rFonts w:ascii="Cambria" w:hAnsi="Cambria"/>
          <w:sz w:val="22"/>
          <w:szCs w:val="22"/>
        </w:rPr>
        <w:t xml:space="preserve">p. 81. </w:t>
      </w:r>
    </w:p>
    <w:p w14:paraId="2962F9CE" w14:textId="16F52177" w:rsidR="00064CE4" w:rsidRDefault="006477EF" w:rsidP="00685CC3">
      <w:pPr>
        <w:pStyle w:val="NormalWeb"/>
        <w:rPr>
          <w:rFonts w:ascii="Cambria" w:hAnsi="Cambria"/>
          <w:sz w:val="22"/>
          <w:szCs w:val="22"/>
        </w:rPr>
      </w:pPr>
      <w:r w:rsidRPr="00EB5116">
        <w:rPr>
          <w:rFonts w:ascii="Cambria" w:hAnsi="Cambria"/>
          <w:sz w:val="22"/>
          <w:szCs w:val="22"/>
        </w:rPr>
        <w:t>Stock, J. H. &amp; Watson, M. W. 2018</w:t>
      </w:r>
      <w:r w:rsidR="00D00B9B" w:rsidRPr="00EB5116">
        <w:rPr>
          <w:rFonts w:ascii="Cambria" w:hAnsi="Cambria"/>
          <w:sz w:val="22"/>
          <w:szCs w:val="22"/>
        </w:rPr>
        <w:t>.</w:t>
      </w:r>
      <w:r w:rsidRPr="00EB5116">
        <w:rPr>
          <w:rFonts w:ascii="Cambria" w:hAnsi="Cambria"/>
          <w:sz w:val="22"/>
          <w:szCs w:val="22"/>
        </w:rPr>
        <w:t xml:space="preserve"> </w:t>
      </w:r>
      <w:r w:rsidR="00D00B9B" w:rsidRPr="00EB5116">
        <w:rPr>
          <w:rFonts w:ascii="Cambria" w:hAnsi="Cambria"/>
          <w:sz w:val="22"/>
          <w:szCs w:val="22"/>
        </w:rPr>
        <w:t>“</w:t>
      </w:r>
      <w:r w:rsidRPr="00EB5116">
        <w:rPr>
          <w:rFonts w:ascii="Cambria" w:hAnsi="Cambria"/>
          <w:sz w:val="22"/>
          <w:szCs w:val="22"/>
        </w:rPr>
        <w:t>Identification and estimation of dynamic causal effects in macroeconomics using external instruments</w:t>
      </w:r>
      <w:r w:rsidR="00B04C04" w:rsidRPr="00EB5116">
        <w:rPr>
          <w:rFonts w:ascii="Cambria" w:hAnsi="Cambria"/>
          <w:sz w:val="22"/>
          <w:szCs w:val="22"/>
        </w:rPr>
        <w:t>,”</w:t>
      </w:r>
      <w:r w:rsidRPr="00EB5116">
        <w:rPr>
          <w:rFonts w:ascii="Cambria" w:hAnsi="Cambria"/>
          <w:sz w:val="22"/>
          <w:szCs w:val="22"/>
        </w:rPr>
        <w:t xml:space="preserve"> </w:t>
      </w:r>
      <w:r w:rsidRPr="00EB5116">
        <w:rPr>
          <w:rFonts w:ascii="Cambria" w:hAnsi="Cambria"/>
          <w:i/>
          <w:iCs/>
          <w:sz w:val="22"/>
          <w:szCs w:val="22"/>
        </w:rPr>
        <w:t xml:space="preserve">The Economic Journal </w:t>
      </w:r>
      <w:r w:rsidRPr="00EB5116">
        <w:rPr>
          <w:rFonts w:ascii="Cambria" w:hAnsi="Cambria"/>
          <w:sz w:val="22"/>
          <w:szCs w:val="22"/>
        </w:rPr>
        <w:t>128(610), 917–948</w:t>
      </w:r>
      <w:r w:rsidR="00B62B52">
        <w:rPr>
          <w:rFonts w:ascii="Cambria" w:hAnsi="Cambria"/>
          <w:sz w:val="22"/>
          <w:szCs w:val="22"/>
        </w:rPr>
        <w:t>.</w:t>
      </w:r>
    </w:p>
    <w:p w14:paraId="4D8FFDC8" w14:textId="77777777" w:rsidR="00064CE4" w:rsidRPr="00EB5116" w:rsidRDefault="00064CE4" w:rsidP="00685CC3">
      <w:pPr>
        <w:pStyle w:val="NormalWeb"/>
        <w:rPr>
          <w:rFonts w:ascii="Cambria" w:hAnsi="Cambria"/>
          <w:sz w:val="22"/>
          <w:szCs w:val="22"/>
        </w:rPr>
      </w:pPr>
    </w:p>
    <w:p w14:paraId="7BDE1C5C" w14:textId="7063C042" w:rsidR="00685CC3" w:rsidRPr="00685CC3" w:rsidRDefault="00685CC3" w:rsidP="00685CC3">
      <w:pPr>
        <w:pStyle w:val="NormalWeb"/>
        <w:rPr>
          <w:rFonts w:ascii="NimbusRomNo9L" w:hAnsi="NimbusRomNo9L"/>
          <w:b/>
          <w:sz w:val="28"/>
          <w:szCs w:val="28"/>
        </w:rPr>
      </w:pPr>
      <w:r>
        <w:rPr>
          <w:rFonts w:ascii="Cambria" w:hAnsi="Cambria" w:cs="Helvetica"/>
          <w:b/>
          <w:color w:val="000000"/>
          <w:sz w:val="28"/>
          <w:szCs w:val="28"/>
        </w:rPr>
        <w:t xml:space="preserve">A. </w:t>
      </w:r>
      <w:r w:rsidR="009F3F26">
        <w:rPr>
          <w:rFonts w:ascii="Cambria" w:hAnsi="Cambria" w:cs="Helvetica"/>
          <w:b/>
          <w:color w:val="000000"/>
          <w:sz w:val="28"/>
          <w:szCs w:val="28"/>
        </w:rPr>
        <w:t xml:space="preserve">Appendix: </w:t>
      </w:r>
      <w:r w:rsidRPr="00685CC3">
        <w:rPr>
          <w:rFonts w:ascii="Cambria" w:hAnsi="Cambria" w:cs="Helvetica"/>
          <w:b/>
          <w:color w:val="000000"/>
          <w:sz w:val="28"/>
          <w:szCs w:val="28"/>
        </w:rPr>
        <w:t>Results from local projections estimation strategy</w:t>
      </w:r>
    </w:p>
    <w:p w14:paraId="12F2FE05" w14:textId="77777777" w:rsidR="00685CC3" w:rsidRPr="00685CC3"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rPr>
          <w:rFonts w:ascii="Cambria" w:hAnsi="Cambria" w:cs="Helvetica"/>
          <w:color w:val="000000"/>
          <w:sz w:val="24"/>
          <w:szCs w:val="24"/>
        </w:rPr>
      </w:pPr>
    </w:p>
    <w:p w14:paraId="0F07BE64" w14:textId="5EA3E81C" w:rsidR="00685CC3"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rPr>
          <w:rFonts w:ascii="Cambria" w:hAnsi="Cambria" w:cs="Helvetica"/>
          <w:b/>
          <w:i/>
          <w:color w:val="000000"/>
          <w:sz w:val="24"/>
          <w:szCs w:val="24"/>
        </w:rPr>
      </w:pPr>
      <w:r w:rsidRPr="00685CC3">
        <w:rPr>
          <w:rFonts w:ascii="Cambria" w:hAnsi="Cambria" w:cs="Helvetica"/>
          <w:b/>
          <w:i/>
          <w:color w:val="000000"/>
          <w:sz w:val="24"/>
          <w:szCs w:val="24"/>
        </w:rPr>
        <w:t>A.1 Baseline results for India from LP-IV estimation</w:t>
      </w:r>
    </w:p>
    <w:p w14:paraId="510C5044" w14:textId="77777777" w:rsidR="00685CC3" w:rsidRPr="00685CC3"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rPr>
          <w:rFonts w:ascii="Cambria" w:hAnsi="Cambria" w:cs="Helvetica"/>
          <w:b/>
          <w:i/>
          <w:color w:val="000000"/>
          <w:sz w:val="24"/>
          <w:szCs w:val="24"/>
        </w:rPr>
      </w:pPr>
    </w:p>
    <w:p w14:paraId="371FBB20" w14:textId="18CC681C" w:rsidR="00685CC3" w:rsidRPr="00094072" w:rsidRDefault="00685CC3" w:rsidP="00DB5F2F">
      <w:pPr>
        <w:pStyle w:val="NormalWeb"/>
        <w:jc w:val="both"/>
        <w:rPr>
          <w:rFonts w:ascii="Cambria" w:hAnsi="Cambria"/>
          <w:color w:val="000000" w:themeColor="text1"/>
        </w:rPr>
      </w:pPr>
      <w:r w:rsidRPr="00094072">
        <w:rPr>
          <w:rFonts w:ascii="Cambria" w:hAnsi="Cambria" w:cs="Helvetica"/>
          <w:color w:val="000000" w:themeColor="text1"/>
        </w:rPr>
        <w:t>We directly estimate the IRFs for six Indian macro variables available at monthly frequency: industrial production, consumer price index, nominal exchange rate USD/</w:t>
      </w:r>
      <w:r w:rsidR="00FA00EA" w:rsidRPr="00094072">
        <w:rPr>
          <w:rFonts w:ascii="Cambria" w:hAnsi="Cambria" w:cs="Helvetica"/>
          <w:color w:val="000000" w:themeColor="text1"/>
        </w:rPr>
        <w:t>INR, yields</w:t>
      </w:r>
      <w:r w:rsidRPr="00094072">
        <w:rPr>
          <w:rFonts w:ascii="Cambria" w:hAnsi="Cambria" w:cs="Helvetica"/>
          <w:color w:val="000000" w:themeColor="text1"/>
        </w:rPr>
        <w:t xml:space="preserve"> on </w:t>
      </w:r>
      <w:r w:rsidR="00815ABD" w:rsidRPr="00094072">
        <w:rPr>
          <w:rFonts w:ascii="Cambria" w:hAnsi="Cambria" w:cs="Helvetica"/>
          <w:color w:val="000000" w:themeColor="text1"/>
        </w:rPr>
        <w:t>ten-year</w:t>
      </w:r>
      <w:r w:rsidRPr="00094072">
        <w:rPr>
          <w:rFonts w:ascii="Cambria" w:hAnsi="Cambria" w:cs="Helvetica"/>
          <w:color w:val="000000" w:themeColor="text1"/>
        </w:rPr>
        <w:t xml:space="preserve"> government bonds, stock market index and USD value of total foreign reserves (minus gold) as a measure of international liquidity (coded as RAXG_USD in IMF/IFS). Following </w:t>
      </w:r>
      <w:r w:rsidRPr="00094072">
        <w:rPr>
          <w:rFonts w:ascii="Cambria" w:hAnsi="Cambria"/>
          <w:color w:val="000000" w:themeColor="text1"/>
        </w:rPr>
        <w:t xml:space="preserve">Mishra et al. (2016), </w:t>
      </w:r>
      <w:r w:rsidRPr="00094072">
        <w:rPr>
          <w:rFonts w:ascii="Cambria" w:hAnsi="Cambria" w:cs="Helvetica"/>
          <w:color w:val="000000" w:themeColor="text1"/>
        </w:rPr>
        <w:t>we de-trend the seasonally-adjusted industrial production using HP filter with monthly frequency smoothing parameter of 14400. We refer to this variable henceforth as industrial production gap (</w:t>
      </w:r>
      <w:proofErr w:type="spellStart"/>
      <w:r w:rsidRPr="00094072">
        <w:rPr>
          <w:rFonts w:ascii="Cambria" w:hAnsi="Cambria" w:cs="Helvetica"/>
          <w:i/>
          <w:color w:val="000000" w:themeColor="text1"/>
        </w:rPr>
        <w:t>ipgap</w:t>
      </w:r>
      <w:proofErr w:type="spellEnd"/>
      <w:r w:rsidRPr="00094072">
        <w:rPr>
          <w:rFonts w:ascii="Cambria" w:hAnsi="Cambria" w:cs="Helvetica"/>
          <w:color w:val="000000" w:themeColor="text1"/>
        </w:rPr>
        <w:t>). In the SVAR-IVs, we directly use the seasonally adjusted monthly industrial production from the IMF/IFS database along with linear time trends.</w:t>
      </w:r>
    </w:p>
    <w:p w14:paraId="575A8853" w14:textId="77777777" w:rsidR="00685CC3" w:rsidRPr="00094072" w:rsidRDefault="00685CC3" w:rsidP="00DB5F2F">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472CBFDA" w14:textId="77777777" w:rsidR="00685CC3" w:rsidRPr="00094072" w:rsidRDefault="00685CC3" w:rsidP="00DB5F2F">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 xml:space="preserve">One advantage of using LPIVs instead of SVARs is that we can do not need to have a balanced sample across all horizons. We can use more information for estimating the IRFS at shorter horizons. Our sample starts in July 1994 and extends up to January 2018. </w:t>
      </w:r>
    </w:p>
    <w:p w14:paraId="1AC8F706" w14:textId="46EE6423" w:rsidR="00685CC3" w:rsidRPr="00094072" w:rsidRDefault="00685CC3" w:rsidP="00DB5F2F">
      <w:pPr>
        <w:pStyle w:val="NormalWeb"/>
        <w:jc w:val="both"/>
        <w:rPr>
          <w:rFonts w:ascii="Cambria" w:hAnsi="Cambria"/>
          <w:color w:val="000000" w:themeColor="text1"/>
        </w:rPr>
      </w:pPr>
      <w:r w:rsidRPr="00094072">
        <w:rPr>
          <w:rFonts w:ascii="Cambria" w:hAnsi="Cambria" w:cs="Helvetica"/>
          <w:color w:val="000000" w:themeColor="text1"/>
        </w:rPr>
        <w:t xml:space="preserve">The IRFs are computed from the second stage local projections estimation method described in </w:t>
      </w:r>
      <w:r w:rsidRPr="00094072">
        <w:rPr>
          <w:rFonts w:ascii="Cambria" w:hAnsi="Cambria"/>
          <w:color w:val="000000" w:themeColor="text1"/>
        </w:rPr>
        <w:t xml:space="preserve">Equation 6. </w:t>
      </w:r>
      <w:r w:rsidRPr="00094072">
        <w:rPr>
          <w:rFonts w:ascii="Cambria" w:hAnsi="Cambria" w:cs="Helvetica"/>
          <w:color w:val="000000" w:themeColor="text1"/>
        </w:rPr>
        <w:t xml:space="preserve">The graphs plot the </w:t>
      </w:r>
      <m:oMath>
        <m:sSup>
          <m:sSupPr>
            <m:ctrlPr>
              <w:rPr>
                <w:rFonts w:ascii="Cambria Math" w:hAnsi="Cambria Math"/>
                <w:color w:val="000000" w:themeColor="text1"/>
              </w:rPr>
            </m:ctrlPr>
          </m:sSupPr>
          <m:e>
            <m:r>
              <m:rPr>
                <m:sty m:val="p"/>
              </m:rPr>
              <w:rPr>
                <w:rFonts w:ascii="Cambria Math" w:hAnsi="Cambria Math"/>
                <w:color w:val="000000" w:themeColor="text1"/>
              </w:rPr>
              <m:t>β</m:t>
            </m:r>
          </m:e>
          <m:sup>
            <m:r>
              <m:rPr>
                <m:sty m:val="p"/>
              </m:rPr>
              <w:rPr>
                <w:rFonts w:ascii="Cambria Math" w:hAnsi="Cambria Math"/>
                <w:color w:val="000000" w:themeColor="text1"/>
              </w:rPr>
              <m:t>h</m:t>
            </m:r>
          </m:sup>
        </m:sSup>
        <m:r>
          <w:rPr>
            <w:rFonts w:ascii="Cambria Math" w:hAnsi="Cambria Math"/>
            <w:color w:val="000000" w:themeColor="text1"/>
          </w:rPr>
          <m:t xml:space="preserve"> </m:t>
        </m:r>
      </m:oMath>
      <w:r w:rsidRPr="00094072">
        <w:rPr>
          <w:rFonts w:ascii="Cambria" w:hAnsi="Cambria" w:cs="Helvetica"/>
          <w:color w:val="000000" w:themeColor="text1"/>
        </w:rPr>
        <w:t xml:space="preserve">at each horizon. While the US Federal Reserve has a legal mandate to focus explicitly on three domestic variables, shocks identified for the US </w:t>
      </w:r>
      <w:r w:rsidRPr="00094072">
        <w:rPr>
          <w:rFonts w:ascii="Cambria" w:hAnsi="Cambria" w:cs="Helvetica"/>
          <w:color w:val="000000" w:themeColor="text1"/>
        </w:rPr>
        <w:lastRenderedPageBreak/>
        <w:t xml:space="preserve">economy may be predictable by foreign economy's conditions </w:t>
      </w:r>
      <w:r w:rsidRPr="00094072">
        <w:rPr>
          <w:rFonts w:ascii="Cambria" w:hAnsi="Cambria"/>
          <w:color w:val="000000" w:themeColor="text1"/>
        </w:rPr>
        <w:t>(Obstfeld 2019)</w:t>
      </w:r>
      <w:r w:rsidRPr="00094072">
        <w:rPr>
          <w:rFonts w:ascii="Cambria" w:hAnsi="Cambria" w:cs="Helvetica"/>
          <w:color w:val="000000" w:themeColor="text1"/>
        </w:rPr>
        <w:t xml:space="preserve">. As such, we control for twelve lags of industrial production gap, consumer price level-based inflation and the instrument/external shock. Because of shorter sample length, we only add six </w:t>
      </w:r>
      <w:proofErr w:type="spellStart"/>
      <w:r w:rsidRPr="00094072">
        <w:rPr>
          <w:rFonts w:ascii="Cambria" w:hAnsi="Cambria" w:cs="Helvetica"/>
          <w:color w:val="000000" w:themeColor="text1"/>
        </w:rPr>
        <w:t>lags</w:t>
      </w:r>
      <w:proofErr w:type="spellEnd"/>
      <w:r w:rsidRPr="00094072">
        <w:rPr>
          <w:rFonts w:ascii="Cambria" w:hAnsi="Cambria" w:cs="Helvetica"/>
          <w:color w:val="000000" w:themeColor="text1"/>
        </w:rPr>
        <w:t xml:space="preserve"> of other variables namely, nominal exchange rate USD/INR, yields on </w:t>
      </w:r>
      <w:r w:rsidR="00673ED9" w:rsidRPr="00094072">
        <w:rPr>
          <w:rFonts w:ascii="Cambria" w:hAnsi="Cambria" w:cs="Helvetica"/>
          <w:color w:val="000000" w:themeColor="text1"/>
        </w:rPr>
        <w:t>ten-year</w:t>
      </w:r>
      <w:r w:rsidRPr="00094072">
        <w:rPr>
          <w:rFonts w:ascii="Cambria" w:hAnsi="Cambria" w:cs="Helvetica"/>
          <w:color w:val="000000" w:themeColor="text1"/>
        </w:rPr>
        <w:t xml:space="preserve"> government bonds, stock market index, USD value of total foreign reserves (minus gold) and world industrial production index obtained from </w:t>
      </w:r>
      <w:r w:rsidRPr="00094072">
        <w:rPr>
          <w:rFonts w:ascii="Cambria" w:hAnsi="Cambria"/>
          <w:color w:val="000000" w:themeColor="text1"/>
        </w:rPr>
        <w:t xml:space="preserve">Baumeister &amp; Hamilton (2019). </w:t>
      </w:r>
      <w:r w:rsidRPr="00094072">
        <w:rPr>
          <w:rFonts w:ascii="Cambria" w:hAnsi="Cambria" w:cs="Helvetica"/>
          <w:color w:val="000000" w:themeColor="text1"/>
        </w:rPr>
        <w:t xml:space="preserve">The countries included in this index account for 79 percent of world petroleum product consumption and 75 percent of the IMF World Economic Outlook estimate of global GDP. When estimating IRFs for oil supply shocks, we also control for six </w:t>
      </w:r>
      <w:proofErr w:type="spellStart"/>
      <w:r w:rsidRPr="00094072">
        <w:rPr>
          <w:rFonts w:ascii="Cambria" w:hAnsi="Cambria" w:cs="Helvetica"/>
          <w:color w:val="000000" w:themeColor="text1"/>
        </w:rPr>
        <w:t>lags</w:t>
      </w:r>
      <w:proofErr w:type="spellEnd"/>
      <w:r w:rsidRPr="00094072">
        <w:rPr>
          <w:rFonts w:ascii="Cambria" w:hAnsi="Cambria" w:cs="Helvetica"/>
          <w:color w:val="000000" w:themeColor="text1"/>
        </w:rPr>
        <w:t xml:space="preserve"> of global oil production (millions barrels/day), changes in oil inventories as ratio of last year's global oil production, and real spot price of West Texas Intermediate oil.</w:t>
      </w:r>
    </w:p>
    <w:p w14:paraId="239B1B13" w14:textId="5F2ACA38" w:rsidR="00685CC3" w:rsidRPr="00094072" w:rsidRDefault="000745DD" w:rsidP="00DB5F2F">
      <w:pPr>
        <w:pStyle w:val="NormalWeb"/>
        <w:jc w:val="both"/>
        <w:rPr>
          <w:rFonts w:ascii="Cambria" w:hAnsi="Cambria"/>
          <w:color w:val="000000" w:themeColor="text1"/>
        </w:rPr>
      </w:pPr>
      <w:r w:rsidRPr="00094072">
        <w:rPr>
          <w:rFonts w:ascii="Cambria" w:hAnsi="Cambria" w:cs="Helvetica"/>
          <w:color w:val="000000" w:themeColor="text1"/>
        </w:rPr>
        <w:t>FIGURES 9</w:t>
      </w:r>
      <w:r w:rsidRPr="00094072">
        <w:rPr>
          <w:rFonts w:ascii="Cambria" w:hAnsi="Cambria" w:cs="Helvetica"/>
          <w:color w:val="000000" w:themeColor="text1"/>
        </w:rPr>
        <w:softHyphen/>
      </w:r>
      <w:r w:rsidRPr="00094072">
        <w:rPr>
          <w:rFonts w:ascii="Cambria" w:hAnsi="Cambria" w:cs="Helvetica"/>
          <w:color w:val="000000" w:themeColor="text1"/>
        </w:rPr>
        <w:softHyphen/>
        <w:t>–13</w:t>
      </w:r>
      <w:r w:rsidR="00685CC3" w:rsidRPr="00094072">
        <w:rPr>
          <w:rFonts w:ascii="Cambria" w:hAnsi="Cambria" w:cs="Helvetica"/>
          <w:color w:val="000000" w:themeColor="text1"/>
        </w:rPr>
        <w:t xml:space="preserve"> report the LP-IV estimated impulse responses to the four main shocks of interest. A caveat with local projections estimation is the irregular shape of the impulse responses compared to relatively smooth IRFs obtained with VAR estimation. One could potentially smooth out these IRFs using methods developed in the literature </w:t>
      </w:r>
      <w:r w:rsidRPr="00094072">
        <w:rPr>
          <w:rFonts w:ascii="Cambria" w:hAnsi="Cambria"/>
          <w:color w:val="000000" w:themeColor="text1"/>
        </w:rPr>
        <w:t>(</w:t>
      </w:r>
      <w:proofErr w:type="spellStart"/>
      <w:r w:rsidRPr="00094072">
        <w:rPr>
          <w:rFonts w:ascii="Cambria" w:hAnsi="Cambria"/>
          <w:color w:val="000000" w:themeColor="text1"/>
        </w:rPr>
        <w:t>Barnichon</w:t>
      </w:r>
      <w:proofErr w:type="spellEnd"/>
      <w:r w:rsidRPr="00094072">
        <w:rPr>
          <w:rFonts w:ascii="Cambria" w:hAnsi="Cambria"/>
          <w:color w:val="000000" w:themeColor="text1"/>
        </w:rPr>
        <w:t xml:space="preserve"> &amp; </w:t>
      </w:r>
      <w:proofErr w:type="spellStart"/>
      <w:r w:rsidRPr="00094072">
        <w:rPr>
          <w:rFonts w:ascii="Cambria" w:hAnsi="Cambria"/>
          <w:color w:val="000000" w:themeColor="text1"/>
        </w:rPr>
        <w:t>Brownlees</w:t>
      </w:r>
      <w:proofErr w:type="spellEnd"/>
      <w:r w:rsidRPr="00094072">
        <w:rPr>
          <w:rFonts w:ascii="Cambria" w:hAnsi="Cambria"/>
          <w:color w:val="000000" w:themeColor="text1"/>
        </w:rPr>
        <w:t xml:space="preserve"> 2018). </w:t>
      </w:r>
      <w:r w:rsidR="00685CC3" w:rsidRPr="00094072">
        <w:rPr>
          <w:rFonts w:ascii="Cambria" w:hAnsi="Cambria" w:cs="Helvetica"/>
          <w:color w:val="000000" w:themeColor="text1"/>
        </w:rPr>
        <w:t>That requires taking a stand on what turning points are the truth or noise. As a result, we chose to report the LP-IV based IRFs. SVAR based IRFs reported in the next section can be seen as the extreme case of the IRFs obtained with structural assumptions on dimension reduction.</w:t>
      </w:r>
    </w:p>
    <w:p w14:paraId="106A7455"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5EFD9ED8" w14:textId="37EC55F5" w:rsidR="00685CC3" w:rsidRPr="00094072" w:rsidRDefault="000745DD"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u w:val="single"/>
        </w:rPr>
      </w:pPr>
      <w:r w:rsidRPr="00094072">
        <w:rPr>
          <w:rFonts w:ascii="Cambria" w:hAnsi="Cambria" w:cs="Helvetica"/>
          <w:b/>
          <w:i/>
          <w:color w:val="000000" w:themeColor="text1"/>
          <w:sz w:val="24"/>
          <w:szCs w:val="24"/>
          <w:u w:val="single"/>
        </w:rPr>
        <w:t xml:space="preserve">A.1.1 </w:t>
      </w:r>
      <w:r w:rsidR="00685CC3" w:rsidRPr="00094072">
        <w:rPr>
          <w:rFonts w:ascii="Cambria" w:hAnsi="Cambria" w:cs="Helvetica"/>
          <w:b/>
          <w:i/>
          <w:color w:val="000000" w:themeColor="text1"/>
          <w:sz w:val="24"/>
          <w:szCs w:val="24"/>
          <w:u w:val="single"/>
        </w:rPr>
        <w:t>Monetary policy shocks</w:t>
      </w:r>
    </w:p>
    <w:p w14:paraId="42C3A6A0" w14:textId="3C710AAE" w:rsidR="00685CC3" w:rsidRPr="00094072" w:rsidRDefault="000745DD"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FIGURE 9</w:t>
      </w:r>
      <w:r w:rsidRPr="00094072">
        <w:rPr>
          <w:rFonts w:ascii="Cambria" w:hAnsi="Cambria" w:cs="Helvetica"/>
          <w:color w:val="000000" w:themeColor="text1"/>
          <w:sz w:val="24"/>
          <w:szCs w:val="24"/>
        </w:rPr>
        <w:softHyphen/>
      </w:r>
      <w:r w:rsidRPr="00094072">
        <w:rPr>
          <w:rFonts w:ascii="Cambria" w:hAnsi="Cambria" w:cs="Helvetica"/>
          <w:color w:val="000000" w:themeColor="text1"/>
          <w:sz w:val="24"/>
          <w:szCs w:val="24"/>
        </w:rPr>
        <w:softHyphen/>
        <w:t xml:space="preserve"> </w:t>
      </w:r>
      <w:r w:rsidR="00685CC3" w:rsidRPr="00094072">
        <w:rPr>
          <w:rFonts w:ascii="Cambria" w:hAnsi="Cambria" w:cs="Helvetica"/>
          <w:color w:val="000000" w:themeColor="text1"/>
          <w:sz w:val="24"/>
          <w:szCs w:val="24"/>
        </w:rPr>
        <w:t xml:space="preserve">reports the LP-IV estimated impulse responses to US monetary policy shocks. Consistent with the global financial cycle hypothesis, we find that US monetary policy has important spillovers to the Indian economy. The rupee depreciates on impact and exhibits a persistent depreciation with respect to the USD. The Indian stock market index gradually falls, and stock of foreign reserves gets depleted. The </w:t>
      </w:r>
      <w:r w:rsidRPr="00094072">
        <w:rPr>
          <w:rFonts w:ascii="Cambria" w:hAnsi="Cambria" w:cs="Helvetica"/>
          <w:color w:val="000000" w:themeColor="text1"/>
          <w:sz w:val="24"/>
          <w:szCs w:val="24"/>
        </w:rPr>
        <w:t>ten-year</w:t>
      </w:r>
      <w:r w:rsidR="00685CC3" w:rsidRPr="00094072">
        <w:rPr>
          <w:rFonts w:ascii="Cambria" w:hAnsi="Cambria" w:cs="Helvetica"/>
          <w:color w:val="000000" w:themeColor="text1"/>
          <w:sz w:val="24"/>
          <w:szCs w:val="24"/>
        </w:rPr>
        <w:t xml:space="preserve"> Indian government bond yields and consumer price level falls. </w:t>
      </w:r>
    </w:p>
    <w:p w14:paraId="14E0D1A7"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FD7B828"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61C08AC1"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3297FF1B" w14:textId="78961883" w:rsidR="00685CC3" w:rsidRPr="00094072" w:rsidRDefault="0067034D"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u w:val="single"/>
        </w:rPr>
      </w:pPr>
      <w:r w:rsidRPr="00094072">
        <w:rPr>
          <w:rFonts w:ascii="Cambria" w:hAnsi="Cambria" w:cs="Helvetica"/>
          <w:b/>
          <w:i/>
          <w:color w:val="000000" w:themeColor="text1"/>
          <w:sz w:val="24"/>
          <w:szCs w:val="24"/>
          <w:u w:val="single"/>
        </w:rPr>
        <w:t xml:space="preserve">A.1.2 </w:t>
      </w:r>
      <w:r w:rsidR="00685CC3" w:rsidRPr="00094072">
        <w:rPr>
          <w:rFonts w:ascii="Cambria" w:hAnsi="Cambria" w:cs="Helvetica"/>
          <w:b/>
          <w:i/>
          <w:color w:val="000000" w:themeColor="text1"/>
          <w:sz w:val="24"/>
          <w:szCs w:val="24"/>
          <w:u w:val="single"/>
        </w:rPr>
        <w:t>Economic Policy Uncertainty Shocks</w:t>
      </w:r>
    </w:p>
    <w:p w14:paraId="0C22855B" w14:textId="70F91A74" w:rsidR="00685CC3" w:rsidRPr="00094072" w:rsidRDefault="0067034D"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 xml:space="preserve">FIGURE </w:t>
      </w:r>
      <w:r w:rsidRPr="00094072">
        <w:rPr>
          <w:rFonts w:ascii="Cambria" w:hAnsi="Cambria" w:cs="Helvetica"/>
          <w:color w:val="000000" w:themeColor="text1"/>
          <w:sz w:val="24"/>
          <w:szCs w:val="24"/>
        </w:rPr>
        <w:softHyphen/>
        <w:t>10</w:t>
      </w:r>
      <w:r w:rsidR="00685CC3" w:rsidRPr="00094072">
        <w:rPr>
          <w:rFonts w:ascii="Cambria" w:hAnsi="Cambria" w:cs="Helvetica"/>
          <w:color w:val="000000" w:themeColor="text1"/>
          <w:sz w:val="24"/>
          <w:szCs w:val="24"/>
        </w:rPr>
        <w:t xml:space="preserve"> reports the LP-IV estimated impulse responses to increase in global economic policy uncertainty. Industrial production falls, rupee depreciates, and consumer prices falls. Stock market initially falls to recover after one year.</w:t>
      </w:r>
    </w:p>
    <w:p w14:paraId="19943206"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654FCDEB" w14:textId="749367F8"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 xml:space="preserve">Since the economic policy uncertainty measure only starts in 1997, we also estimate the IRFs with respect to one standard deviation in VIX orthogonalized to past Indian macro variables as well as world industrial production. </w:t>
      </w:r>
      <w:r w:rsidR="002B28A6" w:rsidRPr="00094072">
        <w:rPr>
          <w:rFonts w:ascii="Cambria" w:hAnsi="Cambria" w:cs="Helvetica"/>
          <w:color w:val="000000" w:themeColor="text1"/>
          <w:sz w:val="24"/>
          <w:szCs w:val="24"/>
        </w:rPr>
        <w:t>FIGURE 11</w:t>
      </w:r>
      <w:r w:rsidR="002B28A6" w:rsidRPr="00094072">
        <w:rPr>
          <w:rFonts w:ascii="Cambria" w:hAnsi="Cambria" w:cs="Helvetica"/>
          <w:color w:val="000000" w:themeColor="text1"/>
          <w:sz w:val="24"/>
          <w:szCs w:val="24"/>
        </w:rPr>
        <w:softHyphen/>
      </w:r>
      <w:r w:rsidR="002B28A6" w:rsidRPr="00094072">
        <w:rPr>
          <w:rFonts w:ascii="Cambria" w:hAnsi="Cambria" w:cs="Helvetica"/>
          <w:color w:val="000000" w:themeColor="text1"/>
          <w:sz w:val="24"/>
          <w:szCs w:val="24"/>
        </w:rPr>
        <w:softHyphen/>
        <w:t xml:space="preserve"> </w:t>
      </w:r>
      <w:r w:rsidRPr="00094072">
        <w:rPr>
          <w:rFonts w:ascii="Cambria" w:hAnsi="Cambria" w:cs="Helvetica"/>
          <w:color w:val="000000" w:themeColor="text1"/>
          <w:sz w:val="24"/>
          <w:szCs w:val="24"/>
        </w:rPr>
        <w:t>reports the LP-IV estimated impulse responses to increase in VIX measure of uncertainty in the global financial markets. The effects are more pronounced with this shock, while we do not claim identification of the exogenous shock in this case. The impulse responses are similar to global economic policy uncertainty shocks largely because of high correlation between the two series.</w:t>
      </w:r>
    </w:p>
    <w:p w14:paraId="419BA3FC"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AEEDECE"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8E639AA"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33EE469"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1ECD45B8" w14:textId="12BEF976" w:rsidR="00685CC3" w:rsidRPr="00094072" w:rsidRDefault="00DA3F1C"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u w:val="single"/>
        </w:rPr>
      </w:pPr>
      <w:r w:rsidRPr="00094072">
        <w:rPr>
          <w:rFonts w:ascii="Cambria" w:hAnsi="Cambria" w:cs="Helvetica"/>
          <w:b/>
          <w:i/>
          <w:color w:val="000000" w:themeColor="text1"/>
          <w:sz w:val="24"/>
          <w:szCs w:val="24"/>
          <w:u w:val="single"/>
        </w:rPr>
        <w:t xml:space="preserve">A.1.3 </w:t>
      </w:r>
      <w:r w:rsidR="00685CC3" w:rsidRPr="00094072">
        <w:rPr>
          <w:rFonts w:ascii="Cambria" w:hAnsi="Cambria" w:cs="Helvetica"/>
          <w:b/>
          <w:i/>
          <w:color w:val="000000" w:themeColor="text1"/>
          <w:sz w:val="24"/>
          <w:szCs w:val="24"/>
          <w:u w:val="single"/>
        </w:rPr>
        <w:t>Geopolitical Risk Shocks</w:t>
      </w:r>
    </w:p>
    <w:p w14:paraId="43F878D1" w14:textId="1F8449BD" w:rsidR="00685CC3" w:rsidRPr="00094072" w:rsidRDefault="00DA3F1C"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FIGURE 12</w:t>
      </w:r>
      <w:r w:rsidRPr="00094072">
        <w:rPr>
          <w:rFonts w:ascii="Cambria" w:hAnsi="Cambria" w:cs="Helvetica"/>
          <w:color w:val="000000" w:themeColor="text1"/>
          <w:sz w:val="24"/>
          <w:szCs w:val="24"/>
        </w:rPr>
        <w:softHyphen/>
      </w:r>
      <w:r w:rsidRPr="00094072">
        <w:rPr>
          <w:rFonts w:ascii="Cambria" w:hAnsi="Cambria" w:cs="Helvetica"/>
          <w:color w:val="000000" w:themeColor="text1"/>
          <w:sz w:val="24"/>
          <w:szCs w:val="24"/>
        </w:rPr>
        <w:softHyphen/>
        <w:t xml:space="preserve"> </w:t>
      </w:r>
      <w:r w:rsidR="00685CC3" w:rsidRPr="00094072">
        <w:rPr>
          <w:rFonts w:ascii="Cambria" w:hAnsi="Cambria" w:cs="Helvetica"/>
          <w:color w:val="000000" w:themeColor="text1"/>
          <w:sz w:val="24"/>
          <w:szCs w:val="24"/>
        </w:rPr>
        <w:t>reports the LP-IV estimated impulse responses to increase in geopolitical risk in rest of the world. There is no significant effect on industrial production, while price level falls in response to the global geopolitical risk. Somewhat surprisingly, we find an increase in industrial production roughly 14 months after the shock. However, the financial variables seem to move in India's favor with improvement in value of foreign reserves holdings. This would be consistent with India being a relatively safe option when there is increase in geopolitical risk in rest of the world.</w:t>
      </w:r>
    </w:p>
    <w:p w14:paraId="2E3FB3A8"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F860745"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53D1D2D5" w14:textId="111AE8FC" w:rsidR="00685CC3" w:rsidRPr="00094072" w:rsidRDefault="00206D95"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u w:val="single"/>
        </w:rPr>
      </w:pPr>
      <w:r w:rsidRPr="00094072">
        <w:rPr>
          <w:rFonts w:ascii="Cambria" w:hAnsi="Cambria" w:cs="Helvetica"/>
          <w:b/>
          <w:i/>
          <w:color w:val="000000" w:themeColor="text1"/>
          <w:sz w:val="24"/>
          <w:szCs w:val="24"/>
          <w:u w:val="single"/>
        </w:rPr>
        <w:t xml:space="preserve">A.1.4 </w:t>
      </w:r>
      <w:r w:rsidR="00685CC3" w:rsidRPr="00094072">
        <w:rPr>
          <w:rFonts w:ascii="Cambria" w:hAnsi="Cambria" w:cs="Helvetica"/>
          <w:b/>
          <w:i/>
          <w:color w:val="000000" w:themeColor="text1"/>
          <w:sz w:val="24"/>
          <w:szCs w:val="24"/>
          <w:u w:val="single"/>
        </w:rPr>
        <w:t>Oil Supply Shocks</w:t>
      </w:r>
    </w:p>
    <w:p w14:paraId="33921D75" w14:textId="51933906" w:rsidR="00685CC3" w:rsidRPr="00094072" w:rsidRDefault="00206D95"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FIGURE 13</w:t>
      </w:r>
      <w:r w:rsidRPr="00094072">
        <w:rPr>
          <w:rFonts w:ascii="Cambria" w:hAnsi="Cambria" w:cs="Helvetica"/>
          <w:color w:val="000000" w:themeColor="text1"/>
          <w:sz w:val="24"/>
          <w:szCs w:val="24"/>
        </w:rPr>
        <w:softHyphen/>
      </w:r>
      <w:r w:rsidRPr="00094072">
        <w:rPr>
          <w:rFonts w:ascii="Cambria" w:hAnsi="Cambria" w:cs="Helvetica"/>
          <w:color w:val="000000" w:themeColor="text1"/>
          <w:sz w:val="24"/>
          <w:szCs w:val="24"/>
        </w:rPr>
        <w:softHyphen/>
        <w:t xml:space="preserve"> </w:t>
      </w:r>
      <w:r w:rsidR="00685CC3" w:rsidRPr="00094072">
        <w:rPr>
          <w:rFonts w:ascii="Cambria" w:hAnsi="Cambria" w:cs="Helvetica"/>
          <w:color w:val="000000" w:themeColor="text1"/>
          <w:sz w:val="24"/>
          <w:szCs w:val="24"/>
        </w:rPr>
        <w:t>reports the LP-IV estimated impulse responses to increase in oil prices because of reduction in supply. Industrial production gap falls and recovers eight months after the shock. Reliance on oil imports implies that consumer prices go up in India, rupee depreciates and foreign reserves go down.</w:t>
      </w:r>
    </w:p>
    <w:p w14:paraId="0780D073" w14:textId="77777777" w:rsidR="00685CC3" w:rsidRPr="00094072" w:rsidRDefault="00685CC3"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3C96F11" w14:textId="6A66DFB7" w:rsidR="00685CC3" w:rsidRPr="00094072" w:rsidRDefault="0009472A" w:rsidP="00685CC3">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rPr>
      </w:pPr>
      <w:r w:rsidRPr="00094072">
        <w:rPr>
          <w:rFonts w:ascii="Cambria" w:hAnsi="Cambria" w:cs="Helvetica"/>
          <w:b/>
          <w:i/>
          <w:color w:val="000000" w:themeColor="text1"/>
          <w:sz w:val="24"/>
          <w:szCs w:val="24"/>
        </w:rPr>
        <w:t xml:space="preserve">A.2. </w:t>
      </w:r>
      <w:r w:rsidR="00685CC3" w:rsidRPr="00094072">
        <w:rPr>
          <w:rFonts w:ascii="Cambria" w:hAnsi="Cambria" w:cs="Helvetica"/>
          <w:b/>
          <w:i/>
          <w:color w:val="000000" w:themeColor="text1"/>
          <w:sz w:val="24"/>
          <w:szCs w:val="24"/>
        </w:rPr>
        <w:t>Comparison to World and BRICS</w:t>
      </w:r>
    </w:p>
    <w:p w14:paraId="11B6CE39"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We next document the responses of world industrial production and industrial production in the BRICS block to the external shocks. We believe this is useful for at least two reasons. One, the response of WIIP and BRICS-IP is helpful to understand the nature of the foreign shock, whether it is contractionary and expansionary. Second, it can help place benchmark on the quantitative magnitudes one should expect when we go to India specific macro variables.</w:t>
      </w:r>
    </w:p>
    <w:p w14:paraId="2D121BAD"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2ABC93D1" w14:textId="18C4ED54" w:rsidR="00685CC3" w:rsidRPr="00094072" w:rsidRDefault="00685CC3" w:rsidP="009E2F52">
      <w:pPr>
        <w:pStyle w:val="NormalWeb"/>
        <w:jc w:val="both"/>
        <w:rPr>
          <w:rFonts w:ascii="Cambria" w:hAnsi="Cambria"/>
          <w:color w:val="000000" w:themeColor="text1"/>
        </w:rPr>
      </w:pPr>
      <w:r w:rsidRPr="00094072">
        <w:rPr>
          <w:rFonts w:ascii="Cambria" w:hAnsi="Cambria" w:cs="Helvetica"/>
          <w:color w:val="000000" w:themeColor="text1"/>
        </w:rPr>
        <w:t xml:space="preserve">Our measure of WIIP is an extended version of the OECD's index of monthly industrial production in the OECD and six major other countries developed by </w:t>
      </w:r>
      <w:r w:rsidR="00074B67" w:rsidRPr="00094072">
        <w:rPr>
          <w:rFonts w:ascii="Cambria" w:hAnsi="Cambria"/>
          <w:color w:val="000000" w:themeColor="text1"/>
        </w:rPr>
        <w:t xml:space="preserve">Baumeister &amp; Hamilton (2019). </w:t>
      </w:r>
      <w:r w:rsidRPr="00094072">
        <w:rPr>
          <w:rFonts w:ascii="Cambria" w:hAnsi="Cambria" w:cs="Helvetica"/>
          <w:color w:val="000000" w:themeColor="text1"/>
        </w:rPr>
        <w:t xml:space="preserve">The countries included in this index account for 79 percent of world petroleum product consumption and 75 percent of the IMF World Economic Outlook estimate of global GDP. Our measure of BRICS-IP is average of industrial production obtained for Brazil, China, Russia, and South Africa </w:t>
      </w:r>
      <w:r w:rsidR="00FE6532" w:rsidRPr="00094072">
        <w:rPr>
          <w:rFonts w:ascii="Cambria" w:hAnsi="Cambria" w:cs="Helvetica"/>
          <w:color w:val="000000" w:themeColor="text1"/>
        </w:rPr>
        <w:t>from World</w:t>
      </w:r>
      <w:r w:rsidRPr="00094072">
        <w:rPr>
          <w:rFonts w:ascii="Cambria" w:hAnsi="Cambria" w:cs="Helvetica"/>
          <w:color w:val="000000" w:themeColor="text1"/>
        </w:rPr>
        <w:t xml:space="preserve"> Bank</w:t>
      </w:r>
      <w:r w:rsidR="00FE6532" w:rsidRPr="00094072">
        <w:rPr>
          <w:rFonts w:ascii="Cambria" w:hAnsi="Cambria" w:cs="Helvetica"/>
          <w:color w:val="000000" w:themeColor="text1"/>
        </w:rPr>
        <w:t>’s</w:t>
      </w:r>
      <w:r w:rsidRPr="00094072">
        <w:rPr>
          <w:rFonts w:ascii="Cambria" w:hAnsi="Cambria" w:cs="Helvetica"/>
          <w:color w:val="000000" w:themeColor="text1"/>
        </w:rPr>
        <w:t xml:space="preserve"> </w:t>
      </w:r>
      <w:r w:rsidRPr="00094072">
        <w:rPr>
          <w:rFonts w:ascii="Cambria" w:hAnsi="Cambria" w:cs="Helvetica"/>
          <w:i/>
          <w:color w:val="000000" w:themeColor="text1"/>
        </w:rPr>
        <w:t>Global Economic Monitor</w:t>
      </w:r>
      <w:r w:rsidRPr="00094072">
        <w:rPr>
          <w:rFonts w:ascii="Cambria" w:hAnsi="Cambria" w:cs="Helvetica"/>
          <w:color w:val="000000" w:themeColor="text1"/>
        </w:rPr>
        <w:t>. Further, we control for past twelve lags of the instrument and world industrial production in our regression to account for predictability of these shocks to past lags as well as to improve precision of our estimates. In addition, we control for twelve lags of US federal funds rate, US industrial production, and US CPI inflation.  When estimating the IRFs for oil supply shocks, we also control for twelve lags of global oil production (millions barrels/day), changes in oil inventories as ratio of last year's global oil production, and real spot price of West Texas Intermediate oil. This is important to identify the oil supply shocks from oil demand and other confounding factors.</w:t>
      </w:r>
    </w:p>
    <w:p w14:paraId="1F7F75D8"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7D8ACCB" w14:textId="3D446272" w:rsidR="00685CC3" w:rsidRPr="00094072" w:rsidRDefault="00275249"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FIGURE 14</w:t>
      </w:r>
      <w:r w:rsidRPr="00094072">
        <w:rPr>
          <w:rFonts w:ascii="Cambria" w:hAnsi="Cambria" w:cs="Helvetica"/>
          <w:color w:val="000000" w:themeColor="text1"/>
          <w:sz w:val="24"/>
          <w:szCs w:val="24"/>
        </w:rPr>
        <w:softHyphen/>
      </w:r>
      <w:r w:rsidRPr="00094072">
        <w:rPr>
          <w:rFonts w:ascii="Cambria" w:hAnsi="Cambria" w:cs="Helvetica"/>
          <w:color w:val="000000" w:themeColor="text1"/>
          <w:sz w:val="24"/>
          <w:szCs w:val="24"/>
        </w:rPr>
        <w:softHyphen/>
        <w:t xml:space="preserve"> </w:t>
      </w:r>
      <w:r w:rsidR="00685CC3" w:rsidRPr="00094072">
        <w:rPr>
          <w:rFonts w:ascii="Cambria" w:hAnsi="Cambria" w:cs="Helvetica"/>
          <w:color w:val="000000" w:themeColor="text1"/>
          <w:sz w:val="24"/>
          <w:szCs w:val="24"/>
        </w:rPr>
        <w:t>plots the impulse responses to the shocks described earlier, namely, shocks to US monetary policy, economic policy uncertainty, geopolitical risk and global oil supply shocks.</w:t>
      </w:r>
    </w:p>
    <w:p w14:paraId="4E69D2F8"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4CCF4B3C" w14:textId="26E6E1F4" w:rsidR="00685CC3" w:rsidRPr="00094072" w:rsidRDefault="00685CC3" w:rsidP="009E2F52">
      <w:pPr>
        <w:pStyle w:val="NormalWeb"/>
        <w:jc w:val="both"/>
        <w:rPr>
          <w:rFonts w:ascii="Cambria" w:hAnsi="Cambria"/>
          <w:color w:val="000000" w:themeColor="text1"/>
        </w:rPr>
      </w:pPr>
      <w:r w:rsidRPr="00094072">
        <w:rPr>
          <w:rFonts w:ascii="Cambria" w:hAnsi="Cambria" w:cs="Helvetica"/>
          <w:color w:val="000000" w:themeColor="text1"/>
        </w:rPr>
        <w:lastRenderedPageBreak/>
        <w:t xml:space="preserve">Consistent with the hypothesis of global financial cycle </w:t>
      </w:r>
      <w:r w:rsidR="00E6427B" w:rsidRPr="00094072">
        <w:rPr>
          <w:rFonts w:ascii="Cambria" w:hAnsi="Cambria"/>
          <w:color w:val="000000" w:themeColor="text1"/>
        </w:rPr>
        <w:t>(Miranda-</w:t>
      </w:r>
      <w:proofErr w:type="spellStart"/>
      <w:r w:rsidR="00E6427B" w:rsidRPr="00094072">
        <w:rPr>
          <w:rFonts w:ascii="Cambria" w:hAnsi="Cambria"/>
          <w:color w:val="000000" w:themeColor="text1"/>
        </w:rPr>
        <w:t>Agrippino</w:t>
      </w:r>
      <w:proofErr w:type="spellEnd"/>
      <w:r w:rsidR="00E6427B" w:rsidRPr="00094072">
        <w:rPr>
          <w:rFonts w:ascii="Cambria" w:hAnsi="Cambria"/>
          <w:color w:val="000000" w:themeColor="text1"/>
        </w:rPr>
        <w:t xml:space="preserve"> &amp; Rey 2018), </w:t>
      </w:r>
      <w:r w:rsidRPr="00094072">
        <w:rPr>
          <w:rFonts w:ascii="Cambria" w:hAnsi="Cambria" w:cs="Helvetica"/>
          <w:color w:val="000000" w:themeColor="text1"/>
        </w:rPr>
        <w:t xml:space="preserve">we find that contractionary surprises in US federal funds rate indeed have contractionary effects on world industrial production, and BRICS industrial production. Similarly, surprise increases in economic policy uncertainty and world oil prices cause a reduction in world industrial production. </w:t>
      </w:r>
    </w:p>
    <w:p w14:paraId="47862027"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F8C4C75"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r w:rsidRPr="00094072">
        <w:rPr>
          <w:rFonts w:ascii="Cambria" w:hAnsi="Cambria" w:cs="Helvetica"/>
          <w:color w:val="000000" w:themeColor="text1"/>
          <w:sz w:val="24"/>
          <w:szCs w:val="24"/>
        </w:rPr>
        <w:t xml:space="preserve">The magnitude of responses of Indian industrial production are comparable to the average response of Brazil, China, Russia and South Africa. </w:t>
      </w:r>
    </w:p>
    <w:p w14:paraId="445E31F8"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6CAFCE88" w14:textId="6F508685" w:rsidR="00685CC3" w:rsidRPr="00094072" w:rsidRDefault="008445A7"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rPr>
      </w:pPr>
      <w:r w:rsidRPr="00094072">
        <w:rPr>
          <w:rFonts w:ascii="Cambria" w:hAnsi="Cambria" w:cs="Helvetica"/>
          <w:b/>
          <w:i/>
          <w:color w:val="000000" w:themeColor="text1"/>
          <w:sz w:val="24"/>
          <w:szCs w:val="24"/>
        </w:rPr>
        <w:t xml:space="preserve">A.3 </w:t>
      </w:r>
      <w:r w:rsidR="00685CC3" w:rsidRPr="00094072">
        <w:rPr>
          <w:rFonts w:ascii="Cambria" w:hAnsi="Cambria" w:cs="Helvetica"/>
          <w:b/>
          <w:i/>
          <w:color w:val="000000" w:themeColor="text1"/>
          <w:sz w:val="24"/>
          <w:szCs w:val="24"/>
        </w:rPr>
        <w:t>Figures for local projections estimation</w:t>
      </w:r>
    </w:p>
    <w:p w14:paraId="2F9336A3" w14:textId="7725FF0D"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1015E9BA" w14:textId="67CC2F2C" w:rsidR="001C2785" w:rsidRPr="00E27AF7" w:rsidRDefault="001C2785"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9: </w:t>
      </w:r>
      <w:r w:rsidRPr="00E27AF7">
        <w:rPr>
          <w:rFonts w:ascii="Cambria" w:hAnsi="Cambria"/>
          <w:color w:val="000000" w:themeColor="text1"/>
          <w:sz w:val="22"/>
          <w:szCs w:val="22"/>
        </w:rPr>
        <w:t xml:space="preserve">LP baseline responses to </w:t>
      </w:r>
      <w:r w:rsidR="0007654D" w:rsidRPr="00E27AF7">
        <w:rPr>
          <w:rFonts w:ascii="Cambria" w:hAnsi="Cambria"/>
          <w:color w:val="000000" w:themeColor="text1"/>
          <w:sz w:val="22"/>
          <w:szCs w:val="22"/>
        </w:rPr>
        <w:t xml:space="preserve">one </w:t>
      </w:r>
      <w:r w:rsidR="00935402" w:rsidRPr="00E27AF7">
        <w:rPr>
          <w:rFonts w:ascii="Cambria" w:hAnsi="Cambria"/>
          <w:color w:val="000000" w:themeColor="text1"/>
          <w:sz w:val="22"/>
          <w:szCs w:val="22"/>
        </w:rPr>
        <w:t>standard deviation</w:t>
      </w:r>
      <w:r w:rsidRPr="00E27AF7">
        <w:rPr>
          <w:rFonts w:ascii="Cambria" w:hAnsi="Cambria"/>
          <w:color w:val="000000" w:themeColor="text1"/>
          <w:sz w:val="22"/>
          <w:szCs w:val="22"/>
        </w:rPr>
        <w:t xml:space="preserve"> monetary policy shocks </w:t>
      </w:r>
    </w:p>
    <w:p w14:paraId="07B69F38" w14:textId="57683BF5" w:rsidR="001C2785" w:rsidRPr="00094072" w:rsidRDefault="001C2785" w:rsidP="009E2F52">
      <w:pPr>
        <w:pStyle w:val="NormalWeb"/>
        <w:jc w:val="both"/>
        <w:rPr>
          <w:rFonts w:ascii="Cambria" w:hAnsi="Cambria"/>
          <w:color w:val="000000" w:themeColor="text1"/>
        </w:rPr>
      </w:pPr>
      <w:r w:rsidRPr="00E5798D">
        <w:rPr>
          <w:rFonts w:ascii="Cambria" w:hAnsi="Cambria" w:cs="Helvetica"/>
          <w:color w:val="000000" w:themeColor="text1"/>
          <w:highlight w:val="yellow"/>
        </w:rPr>
        <w:t>INSERT FIGURE 9</w:t>
      </w:r>
      <w:r w:rsidR="002C6445" w:rsidRPr="00E5798D">
        <w:rPr>
          <w:rFonts w:ascii="Cambria" w:hAnsi="Cambria" w:cs="Helvetica"/>
          <w:color w:val="000000" w:themeColor="text1"/>
          <w:highlight w:val="yellow"/>
        </w:rPr>
        <w:t xml:space="preserve"> HERE</w:t>
      </w:r>
      <w:r w:rsidRPr="00094072">
        <w:rPr>
          <w:rFonts w:ascii="Cambria" w:hAnsi="Cambria" w:cs="Helvetica"/>
          <w:color w:val="000000" w:themeColor="text1"/>
        </w:rPr>
        <w:t xml:space="preserve"> </w:t>
      </w:r>
    </w:p>
    <w:p w14:paraId="7105083E" w14:textId="60C37307" w:rsidR="001C2785" w:rsidRPr="00E27AF7" w:rsidRDefault="00685CC3"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w:t>
      </w:r>
      <w:r w:rsidR="001C2785" w:rsidRPr="00E27AF7">
        <w:rPr>
          <w:rFonts w:ascii="Cambria" w:hAnsi="Cambria"/>
          <w:color w:val="000000" w:themeColor="text1"/>
          <w:sz w:val="20"/>
          <w:szCs w:val="20"/>
        </w:rPr>
        <w:t xml:space="preserve">Response of monthly industrial production, consumer price index, USD/INR nominal exchange rate, ten-year government bond rate, stock market index, and total reserves (excluding gold) outstanding to a </w:t>
      </w:r>
      <w:r w:rsidR="0007654D" w:rsidRPr="00E27AF7">
        <w:rPr>
          <w:rFonts w:ascii="Cambria" w:hAnsi="Cambria"/>
          <w:color w:val="000000" w:themeColor="text1"/>
          <w:sz w:val="20"/>
          <w:szCs w:val="20"/>
        </w:rPr>
        <w:t xml:space="preserve">one </w:t>
      </w:r>
      <w:r w:rsidR="00935402" w:rsidRPr="00E27AF7">
        <w:rPr>
          <w:rFonts w:ascii="Cambria" w:hAnsi="Cambria"/>
          <w:color w:val="000000" w:themeColor="text1"/>
          <w:sz w:val="20"/>
          <w:szCs w:val="20"/>
        </w:rPr>
        <w:t>standard deviation</w:t>
      </w:r>
      <w:r w:rsidR="001C2785" w:rsidRPr="00E27AF7">
        <w:rPr>
          <w:rFonts w:ascii="Cambria" w:hAnsi="Cambria"/>
          <w:color w:val="000000" w:themeColor="text1"/>
          <w:sz w:val="20"/>
          <w:szCs w:val="20"/>
        </w:rPr>
        <w:t xml:space="preserve"> identified shock to US monetary policy rate. Shaded areas represent one standard deviation confidence intervals. Standard errors are heteroskedasticity and autocorrelation robust Newey West standard errors. The sources for data series are described in the text. Sample: April 1994 - December 2017. See text for details. </w:t>
      </w:r>
      <w:r w:rsidR="001C2785" w:rsidRPr="00E27AF7">
        <w:rPr>
          <w:rFonts w:ascii="Cambria" w:hAnsi="Cambria"/>
          <w:i/>
          <w:iCs/>
          <w:color w:val="000000" w:themeColor="text1"/>
          <w:sz w:val="20"/>
          <w:szCs w:val="20"/>
        </w:rPr>
        <w:t>Authors’ own calculations</w:t>
      </w:r>
      <w:r w:rsidR="001C2785" w:rsidRPr="00E27AF7">
        <w:rPr>
          <w:rFonts w:ascii="Cambria" w:hAnsi="Cambria"/>
          <w:color w:val="000000" w:themeColor="text1"/>
          <w:sz w:val="20"/>
          <w:szCs w:val="20"/>
        </w:rPr>
        <w:t xml:space="preserve">. </w:t>
      </w:r>
    </w:p>
    <w:p w14:paraId="65664AF6" w14:textId="298F0679"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36BB7FA1" w14:textId="041DCC8B" w:rsidR="002C6445" w:rsidRPr="00E27AF7" w:rsidRDefault="002C6445"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10: </w:t>
      </w:r>
      <w:r w:rsidRPr="00E27AF7">
        <w:rPr>
          <w:rFonts w:ascii="Cambria" w:hAnsi="Cambria"/>
          <w:color w:val="000000" w:themeColor="text1"/>
          <w:sz w:val="22"/>
          <w:szCs w:val="22"/>
        </w:rPr>
        <w:t xml:space="preserve">LP baseline responses to </w:t>
      </w:r>
      <w:r w:rsidR="0007654D" w:rsidRPr="00E27AF7">
        <w:rPr>
          <w:rFonts w:ascii="Cambria" w:hAnsi="Cambria"/>
          <w:color w:val="000000" w:themeColor="text1"/>
          <w:sz w:val="22"/>
          <w:szCs w:val="22"/>
        </w:rPr>
        <w:t xml:space="preserve">one </w:t>
      </w:r>
      <w:r w:rsidR="00935402" w:rsidRPr="00E27AF7">
        <w:rPr>
          <w:rFonts w:ascii="Cambria" w:hAnsi="Cambria"/>
          <w:color w:val="000000" w:themeColor="text1"/>
          <w:sz w:val="22"/>
          <w:szCs w:val="22"/>
        </w:rPr>
        <w:t>standard deviation</w:t>
      </w:r>
      <w:r w:rsidRPr="00E27AF7">
        <w:rPr>
          <w:rFonts w:ascii="Cambria" w:hAnsi="Cambria"/>
          <w:color w:val="000000" w:themeColor="text1"/>
          <w:sz w:val="22"/>
          <w:szCs w:val="22"/>
        </w:rPr>
        <w:t xml:space="preserve"> </w:t>
      </w:r>
      <w:r w:rsidRPr="00E27AF7">
        <w:rPr>
          <w:rFonts w:ascii="Cambria" w:hAnsi="Cambria" w:cs="Helvetica"/>
          <w:color w:val="000000" w:themeColor="text1"/>
          <w:sz w:val="22"/>
          <w:szCs w:val="22"/>
        </w:rPr>
        <w:t>economic policy uncertainty shocks</w:t>
      </w:r>
    </w:p>
    <w:p w14:paraId="521C0B92" w14:textId="24987FBE" w:rsidR="002C6445" w:rsidRPr="00094072" w:rsidRDefault="002C6445" w:rsidP="009E2F52">
      <w:pPr>
        <w:pStyle w:val="NormalWeb"/>
        <w:jc w:val="both"/>
        <w:rPr>
          <w:rFonts w:ascii="Cambria" w:hAnsi="Cambria"/>
          <w:color w:val="000000" w:themeColor="text1"/>
        </w:rPr>
      </w:pPr>
      <w:r w:rsidRPr="00E5798D">
        <w:rPr>
          <w:rFonts w:ascii="Cambria" w:hAnsi="Cambria" w:cs="Helvetica"/>
          <w:color w:val="000000" w:themeColor="text1"/>
          <w:highlight w:val="yellow"/>
        </w:rPr>
        <w:t>INSERT FIGURE 10 HERE</w:t>
      </w:r>
      <w:r w:rsidRPr="00094072">
        <w:rPr>
          <w:rFonts w:ascii="Cambria" w:hAnsi="Cambria" w:cs="Helvetica"/>
          <w:color w:val="000000" w:themeColor="text1"/>
        </w:rPr>
        <w:t xml:space="preserve"> </w:t>
      </w:r>
    </w:p>
    <w:p w14:paraId="10B1DE13" w14:textId="14461C25" w:rsidR="00685CC3" w:rsidRPr="00E27AF7" w:rsidRDefault="002C6445"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w:t>
      </w:r>
      <w:r w:rsidR="00685CC3" w:rsidRPr="00E27AF7">
        <w:rPr>
          <w:rFonts w:ascii="Cambria" w:hAnsi="Cambria" w:cs="Helvetica"/>
          <w:color w:val="000000" w:themeColor="text1"/>
          <w:sz w:val="20"/>
          <w:szCs w:val="20"/>
        </w:rPr>
        <w:t xml:space="preserve">Response of monthly industrial production, consumer price index, USD/INR nominal exchange rate, </w:t>
      </w:r>
      <w:r w:rsidR="008D5305" w:rsidRPr="00E27AF7">
        <w:rPr>
          <w:rFonts w:ascii="Cambria" w:hAnsi="Cambria" w:cs="Helvetica"/>
          <w:color w:val="000000" w:themeColor="text1"/>
          <w:sz w:val="20"/>
          <w:szCs w:val="20"/>
        </w:rPr>
        <w:t>ten-year</w:t>
      </w:r>
      <w:r w:rsidR="00685CC3" w:rsidRPr="00E27AF7">
        <w:rPr>
          <w:rFonts w:ascii="Cambria" w:hAnsi="Cambria" w:cs="Helvetica"/>
          <w:color w:val="000000" w:themeColor="text1"/>
          <w:sz w:val="20"/>
          <w:szCs w:val="20"/>
        </w:rPr>
        <w:t xml:space="preserve"> government bond rate, stock market index, and total reserves (excluding gold) </w:t>
      </w:r>
      <w:r w:rsidRPr="00E27AF7">
        <w:rPr>
          <w:rFonts w:ascii="Cambria" w:hAnsi="Cambria" w:cs="Helvetica"/>
          <w:color w:val="000000" w:themeColor="text1"/>
          <w:sz w:val="20"/>
          <w:szCs w:val="20"/>
        </w:rPr>
        <w:t>outstanding to</w:t>
      </w:r>
      <w:r w:rsidR="00685CC3" w:rsidRPr="00E27AF7">
        <w:rPr>
          <w:rFonts w:ascii="Cambria" w:hAnsi="Cambria" w:cs="Helvetica"/>
          <w:color w:val="000000" w:themeColor="text1"/>
          <w:sz w:val="20"/>
          <w:szCs w:val="20"/>
        </w:rPr>
        <w:t xml:space="preserve">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00685CC3" w:rsidRPr="00E27AF7">
        <w:rPr>
          <w:rFonts w:ascii="Cambria" w:hAnsi="Cambria" w:cs="Helvetica"/>
          <w:color w:val="000000" w:themeColor="text1"/>
          <w:sz w:val="20"/>
          <w:szCs w:val="20"/>
        </w:rPr>
        <w:t xml:space="preserve"> identified shock to global economic policy uncertainty. Shaded areas represent one standard deviation confidence intervals. Standard errors are heteroskedasticity and autocorrelation robust Newey West standard errors. The sources for data series are described in the text. Sample: February 1997 -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12A125F1"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24D0E2E"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865F73C" w14:textId="60291097" w:rsidR="00450C70" w:rsidRPr="00E27AF7" w:rsidRDefault="00450C70"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11: </w:t>
      </w:r>
      <w:r w:rsidRPr="00E27AF7">
        <w:rPr>
          <w:rFonts w:ascii="Cambria" w:hAnsi="Cambria"/>
          <w:color w:val="000000" w:themeColor="text1"/>
          <w:sz w:val="22"/>
          <w:szCs w:val="22"/>
        </w:rPr>
        <w:t xml:space="preserve">LP baseline responses to </w:t>
      </w:r>
      <w:r w:rsidR="0007654D" w:rsidRPr="00E27AF7">
        <w:rPr>
          <w:rFonts w:ascii="Cambria" w:hAnsi="Cambria"/>
          <w:color w:val="000000" w:themeColor="text1"/>
          <w:sz w:val="22"/>
          <w:szCs w:val="22"/>
        </w:rPr>
        <w:t xml:space="preserve">one </w:t>
      </w:r>
      <w:r w:rsidR="00935402" w:rsidRPr="00E27AF7">
        <w:rPr>
          <w:rFonts w:ascii="Cambria" w:hAnsi="Cambria"/>
          <w:color w:val="000000" w:themeColor="text1"/>
          <w:sz w:val="22"/>
          <w:szCs w:val="22"/>
        </w:rPr>
        <w:t>standard deviation</w:t>
      </w:r>
      <w:r w:rsidRPr="00E27AF7">
        <w:rPr>
          <w:rFonts w:ascii="Cambria" w:hAnsi="Cambria"/>
          <w:color w:val="000000" w:themeColor="text1"/>
          <w:sz w:val="22"/>
          <w:szCs w:val="22"/>
        </w:rPr>
        <w:t xml:space="preserve"> movements in VIX </w:t>
      </w:r>
    </w:p>
    <w:p w14:paraId="7ACAAF2E" w14:textId="6338BA7F" w:rsidR="00450C70" w:rsidRPr="00094072" w:rsidRDefault="00450C70" w:rsidP="009E2F52">
      <w:pPr>
        <w:pStyle w:val="NormalWeb"/>
        <w:jc w:val="both"/>
        <w:rPr>
          <w:rFonts w:ascii="Cambria" w:hAnsi="Cambria"/>
          <w:color w:val="000000" w:themeColor="text1"/>
        </w:rPr>
      </w:pPr>
      <w:r w:rsidRPr="00E5798D">
        <w:rPr>
          <w:rFonts w:ascii="Cambria" w:hAnsi="Cambria" w:cs="Helvetica"/>
          <w:color w:val="000000" w:themeColor="text1"/>
          <w:highlight w:val="yellow"/>
        </w:rPr>
        <w:t>INSERT FIGURE 11 HERE</w:t>
      </w:r>
      <w:r w:rsidRPr="00094072">
        <w:rPr>
          <w:rFonts w:ascii="Cambria" w:hAnsi="Cambria" w:cs="Helvetica"/>
          <w:color w:val="000000" w:themeColor="text1"/>
        </w:rPr>
        <w:t xml:space="preserve"> </w:t>
      </w:r>
    </w:p>
    <w:p w14:paraId="4CAF779D" w14:textId="37802DC2" w:rsidR="00450C70" w:rsidRPr="00E27AF7" w:rsidRDefault="00450C70"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monthly industrial production, consumer price index, USD/INR nominal exchange rate, ten-year government bond rate, stock market index, and total reserves (excluding gold) </w:t>
      </w:r>
      <w:r w:rsidRPr="00E27AF7">
        <w:rPr>
          <w:rFonts w:ascii="Cambria" w:hAnsi="Cambria"/>
          <w:color w:val="000000" w:themeColor="text1"/>
          <w:sz w:val="20"/>
          <w:szCs w:val="20"/>
        </w:rPr>
        <w:t xml:space="preserve">outstanding to a </w:t>
      </w:r>
      <w:r w:rsidR="0007654D" w:rsidRPr="00E27AF7">
        <w:rPr>
          <w:rFonts w:ascii="Cambria" w:hAnsi="Cambria"/>
          <w:color w:val="000000" w:themeColor="text1"/>
          <w:sz w:val="20"/>
          <w:szCs w:val="20"/>
        </w:rPr>
        <w:t xml:space="preserve">one </w:t>
      </w:r>
      <w:r w:rsidR="00935402" w:rsidRPr="00E27AF7">
        <w:rPr>
          <w:rFonts w:ascii="Cambria" w:hAnsi="Cambria"/>
          <w:color w:val="000000" w:themeColor="text1"/>
          <w:sz w:val="20"/>
          <w:szCs w:val="20"/>
        </w:rPr>
        <w:t>standard deviation</w:t>
      </w:r>
      <w:r w:rsidRPr="00E27AF7">
        <w:rPr>
          <w:rFonts w:ascii="Cambria" w:hAnsi="Cambria"/>
          <w:color w:val="000000" w:themeColor="text1"/>
          <w:sz w:val="20"/>
          <w:szCs w:val="20"/>
        </w:rPr>
        <w:t xml:space="preserve"> change in VIX</w:t>
      </w:r>
      <w:r w:rsidRPr="00E27AF7">
        <w:rPr>
          <w:rFonts w:ascii="Cambria" w:hAnsi="Cambria" w:cs="Helvetica"/>
          <w:color w:val="000000" w:themeColor="text1"/>
          <w:sz w:val="20"/>
          <w:szCs w:val="20"/>
        </w:rPr>
        <w:t xml:space="preserve">. Shaded areas represent one standard deviation confidence intervals. Standard errors are heteroskedasticity and autocorrelation robust Newey West standard errors. The sources for data series are described in the text. Sample: </w:t>
      </w:r>
      <w:r w:rsidR="00EC645F" w:rsidRPr="00E27AF7">
        <w:rPr>
          <w:rFonts w:ascii="Cambria" w:hAnsi="Cambria"/>
          <w:color w:val="000000" w:themeColor="text1"/>
          <w:sz w:val="20"/>
          <w:szCs w:val="20"/>
        </w:rPr>
        <w:t>Sample: April 1994 - December 2017</w:t>
      </w:r>
      <w:r w:rsidR="00213963" w:rsidRPr="00E27AF7">
        <w:rPr>
          <w:rFonts w:ascii="Cambria" w:hAnsi="Cambria"/>
          <w:color w:val="000000" w:themeColor="text1"/>
          <w:sz w:val="20"/>
          <w:szCs w:val="20"/>
        </w:rPr>
        <w:t xml:space="preserve">. </w:t>
      </w:r>
      <w:r w:rsidRPr="00E27AF7">
        <w:rPr>
          <w:rFonts w:ascii="Cambria" w:hAnsi="Cambria" w:cs="Helvetica"/>
          <w:color w:val="000000" w:themeColor="text1"/>
          <w:sz w:val="20"/>
          <w:szCs w:val="20"/>
        </w:rPr>
        <w:t xml:space="preserve">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1125FDD7" w14:textId="028C9E4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1E3BB7A" w14:textId="015EA4DA" w:rsidR="00044F0A" w:rsidRPr="00E27AF7" w:rsidRDefault="00044F0A"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12: </w:t>
      </w:r>
      <w:r w:rsidRPr="00E27AF7">
        <w:rPr>
          <w:rFonts w:ascii="Cambria" w:hAnsi="Cambria"/>
          <w:color w:val="000000" w:themeColor="text1"/>
          <w:sz w:val="22"/>
          <w:szCs w:val="22"/>
        </w:rPr>
        <w:t xml:space="preserve">LP baseline responses to </w:t>
      </w:r>
      <w:r w:rsidR="0007654D" w:rsidRPr="00E27AF7">
        <w:rPr>
          <w:rFonts w:ascii="Cambria" w:hAnsi="Cambria"/>
          <w:color w:val="000000" w:themeColor="text1"/>
          <w:sz w:val="22"/>
          <w:szCs w:val="22"/>
        </w:rPr>
        <w:t xml:space="preserve">one </w:t>
      </w:r>
      <w:r w:rsidR="00935402" w:rsidRPr="00E27AF7">
        <w:rPr>
          <w:rFonts w:ascii="Cambria" w:hAnsi="Cambria"/>
          <w:color w:val="000000" w:themeColor="text1"/>
          <w:sz w:val="22"/>
          <w:szCs w:val="22"/>
        </w:rPr>
        <w:t>standard deviation</w:t>
      </w:r>
      <w:r w:rsidRPr="00E27AF7">
        <w:rPr>
          <w:rFonts w:ascii="Cambria" w:hAnsi="Cambria"/>
          <w:color w:val="000000" w:themeColor="text1"/>
          <w:sz w:val="22"/>
          <w:szCs w:val="22"/>
        </w:rPr>
        <w:t xml:space="preserve"> </w:t>
      </w:r>
      <w:r w:rsidRPr="00E27AF7">
        <w:rPr>
          <w:rFonts w:ascii="Cambria" w:hAnsi="Cambria" w:cs="Helvetica"/>
          <w:color w:val="000000" w:themeColor="text1"/>
          <w:sz w:val="22"/>
          <w:szCs w:val="22"/>
        </w:rPr>
        <w:t>Geopolitical Risk Shocks</w:t>
      </w:r>
    </w:p>
    <w:p w14:paraId="189BF8F3" w14:textId="376EAE18" w:rsidR="00044F0A" w:rsidRPr="00094072" w:rsidRDefault="00044F0A" w:rsidP="009E2F52">
      <w:pPr>
        <w:pStyle w:val="NormalWeb"/>
        <w:jc w:val="both"/>
        <w:rPr>
          <w:rFonts w:ascii="Cambria" w:hAnsi="Cambria"/>
          <w:color w:val="000000" w:themeColor="text1"/>
        </w:rPr>
      </w:pPr>
      <w:r w:rsidRPr="00E5798D">
        <w:rPr>
          <w:rFonts w:ascii="Cambria" w:hAnsi="Cambria" w:cs="Helvetica"/>
          <w:color w:val="000000" w:themeColor="text1"/>
          <w:highlight w:val="yellow"/>
        </w:rPr>
        <w:t>INSERT FIGURE 1</w:t>
      </w:r>
      <w:r w:rsidR="00F718F6" w:rsidRPr="00E5798D">
        <w:rPr>
          <w:rFonts w:ascii="Cambria" w:hAnsi="Cambria" w:cs="Helvetica"/>
          <w:color w:val="000000" w:themeColor="text1"/>
          <w:highlight w:val="yellow"/>
        </w:rPr>
        <w:t>2</w:t>
      </w:r>
      <w:r w:rsidRPr="00E5798D">
        <w:rPr>
          <w:rFonts w:ascii="Cambria" w:hAnsi="Cambria" w:cs="Helvetica"/>
          <w:color w:val="000000" w:themeColor="text1"/>
          <w:highlight w:val="yellow"/>
        </w:rPr>
        <w:t xml:space="preserve"> HERE</w:t>
      </w:r>
      <w:r w:rsidRPr="00094072">
        <w:rPr>
          <w:rFonts w:ascii="Cambria" w:hAnsi="Cambria" w:cs="Helvetica"/>
          <w:color w:val="000000" w:themeColor="text1"/>
        </w:rPr>
        <w:t xml:space="preserve"> </w:t>
      </w:r>
    </w:p>
    <w:p w14:paraId="32AA515C" w14:textId="7B9F55EE" w:rsidR="00044F0A" w:rsidRPr="00E27AF7" w:rsidRDefault="00044F0A"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monthly industrial production, consumer price index, USD/INR nominal exchange rate, ten-year government bond rate, stock market index, and total reserves (excluding gold) </w:t>
      </w:r>
      <w:r w:rsidRPr="00E27AF7">
        <w:rPr>
          <w:rFonts w:ascii="Cambria" w:hAnsi="Cambria"/>
          <w:color w:val="000000" w:themeColor="text1"/>
          <w:sz w:val="20"/>
          <w:szCs w:val="20"/>
        </w:rPr>
        <w:t xml:space="preserve">outstanding to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Pr="00E27AF7">
        <w:rPr>
          <w:rFonts w:ascii="Cambria" w:hAnsi="Cambria" w:cs="Helvetica"/>
          <w:color w:val="000000" w:themeColor="text1"/>
          <w:sz w:val="20"/>
          <w:szCs w:val="20"/>
        </w:rPr>
        <w:t xml:space="preserve"> identified shock to geopolitical risk measure. Shaded areas represent one standard deviation confidence intervals. Standard errors are heteroskedasticity and autocorrelation robust Newey West standard errors. The sources for data series are described in the text. Sample: April 1994 - December 2017.</w:t>
      </w:r>
      <w:r w:rsidR="00F718F6" w:rsidRPr="00E27AF7">
        <w:rPr>
          <w:rFonts w:ascii="Cambria" w:hAnsi="Cambria" w:cs="Helvetica"/>
          <w:color w:val="000000" w:themeColor="text1"/>
          <w:sz w:val="20"/>
          <w:szCs w:val="20"/>
        </w:rPr>
        <w:t xml:space="preserve"> </w:t>
      </w:r>
      <w:r w:rsidRPr="00E27AF7">
        <w:rPr>
          <w:rFonts w:ascii="Cambria" w:hAnsi="Cambria" w:cs="Helvetica"/>
          <w:color w:val="000000" w:themeColor="text1"/>
          <w:sz w:val="20"/>
          <w:szCs w:val="20"/>
        </w:rPr>
        <w:t xml:space="preserve">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1AC95AAA"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4911743" w14:textId="0285DE5B" w:rsidR="00557AA9" w:rsidRPr="00E27AF7" w:rsidRDefault="00557AA9"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13: </w:t>
      </w:r>
      <w:r w:rsidRPr="00E27AF7">
        <w:rPr>
          <w:rFonts w:ascii="Cambria" w:hAnsi="Cambria"/>
          <w:color w:val="000000" w:themeColor="text1"/>
          <w:sz w:val="22"/>
          <w:szCs w:val="22"/>
        </w:rPr>
        <w:t xml:space="preserve">LP baseline responses to </w:t>
      </w:r>
      <w:r w:rsidR="0007654D" w:rsidRPr="00E27AF7">
        <w:rPr>
          <w:rFonts w:ascii="Cambria" w:hAnsi="Cambria"/>
          <w:color w:val="000000" w:themeColor="text1"/>
          <w:sz w:val="22"/>
          <w:szCs w:val="22"/>
        </w:rPr>
        <w:t xml:space="preserve">one </w:t>
      </w:r>
      <w:r w:rsidR="00935402" w:rsidRPr="00E27AF7">
        <w:rPr>
          <w:rFonts w:ascii="Cambria" w:hAnsi="Cambria"/>
          <w:color w:val="000000" w:themeColor="text1"/>
          <w:sz w:val="22"/>
          <w:szCs w:val="22"/>
        </w:rPr>
        <w:t>standard deviation</w:t>
      </w:r>
      <w:r w:rsidRPr="00E27AF7">
        <w:rPr>
          <w:rFonts w:ascii="Cambria" w:hAnsi="Cambria"/>
          <w:color w:val="000000" w:themeColor="text1"/>
          <w:sz w:val="22"/>
          <w:szCs w:val="22"/>
        </w:rPr>
        <w:t xml:space="preserve"> oil supply shocks </w:t>
      </w:r>
    </w:p>
    <w:p w14:paraId="4D361957" w14:textId="7B9FE2C3" w:rsidR="00557AA9" w:rsidRPr="00094072" w:rsidRDefault="00557AA9" w:rsidP="009E2F52">
      <w:pPr>
        <w:pStyle w:val="NormalWeb"/>
        <w:jc w:val="both"/>
        <w:rPr>
          <w:rFonts w:ascii="Cambria" w:hAnsi="Cambria"/>
          <w:color w:val="000000" w:themeColor="text1"/>
        </w:rPr>
      </w:pPr>
      <w:r w:rsidRPr="00E5798D">
        <w:rPr>
          <w:rFonts w:ascii="Cambria" w:hAnsi="Cambria" w:cs="Helvetica"/>
          <w:color w:val="000000" w:themeColor="text1"/>
          <w:highlight w:val="yellow"/>
        </w:rPr>
        <w:t>INSERT FIGURE 13 HERE</w:t>
      </w:r>
      <w:r w:rsidRPr="00094072">
        <w:rPr>
          <w:rFonts w:ascii="Cambria" w:hAnsi="Cambria" w:cs="Helvetica"/>
          <w:color w:val="000000" w:themeColor="text1"/>
        </w:rPr>
        <w:t xml:space="preserve"> </w:t>
      </w:r>
    </w:p>
    <w:p w14:paraId="2F76FAB2" w14:textId="57903E8B" w:rsidR="00557AA9" w:rsidRPr="00E27AF7" w:rsidRDefault="00557AA9"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monthly industrial production, consumer price index, USD/INR nominal exchange rate, ten-year government bond rate, stock market index, and total reserves (excluding gold) </w:t>
      </w:r>
      <w:r w:rsidRPr="00E27AF7">
        <w:rPr>
          <w:rFonts w:ascii="Cambria" w:hAnsi="Cambria"/>
          <w:color w:val="000000" w:themeColor="text1"/>
          <w:sz w:val="20"/>
          <w:szCs w:val="20"/>
        </w:rPr>
        <w:t xml:space="preserve">outstanding to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Pr="00E27AF7">
        <w:rPr>
          <w:rFonts w:ascii="Cambria" w:hAnsi="Cambria" w:cs="Helvetica"/>
          <w:color w:val="000000" w:themeColor="text1"/>
          <w:sz w:val="20"/>
          <w:szCs w:val="20"/>
        </w:rPr>
        <w:t xml:space="preserve"> iden</w:t>
      </w:r>
      <w:r w:rsidRPr="00E27AF7">
        <w:rPr>
          <w:rFonts w:ascii="Cambria" w:hAnsi="Cambria"/>
          <w:color w:val="000000" w:themeColor="text1"/>
          <w:sz w:val="20"/>
          <w:szCs w:val="20"/>
        </w:rPr>
        <w:t xml:space="preserve">tified shock to oil </w:t>
      </w:r>
      <w:r w:rsidR="003B3AA4" w:rsidRPr="00E27AF7">
        <w:rPr>
          <w:rFonts w:ascii="Cambria" w:hAnsi="Cambria"/>
          <w:color w:val="000000" w:themeColor="text1"/>
          <w:sz w:val="20"/>
          <w:szCs w:val="20"/>
        </w:rPr>
        <w:t>supply.</w:t>
      </w:r>
      <w:r w:rsidRPr="00E27AF7">
        <w:rPr>
          <w:rFonts w:ascii="Cambria" w:hAnsi="Cambria" w:cs="Helvetica"/>
          <w:color w:val="000000" w:themeColor="text1"/>
          <w:sz w:val="20"/>
          <w:szCs w:val="20"/>
        </w:rPr>
        <w:t xml:space="preserve"> Shaded areas represent one standard deviation confidence intervals. Standard errors are heteroskedasticity and autocorrelation robust Newey West standard errors. The sources for data series are described in the text. Sample: April 1994 -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6B50ECE9" w14:textId="1F562755"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B2AE3EB" w14:textId="4CC748E8" w:rsidR="00F03C22" w:rsidRPr="00E27AF7" w:rsidRDefault="00F03C22"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14: Industrial Production response to </w:t>
      </w:r>
      <w:r w:rsidR="0007654D" w:rsidRPr="00E27AF7">
        <w:rPr>
          <w:rFonts w:ascii="Cambria" w:hAnsi="Cambria" w:cs="Helvetica"/>
          <w:color w:val="000000" w:themeColor="text1"/>
          <w:sz w:val="22"/>
          <w:szCs w:val="22"/>
        </w:rPr>
        <w:t xml:space="preserve">one </w:t>
      </w:r>
      <w:r w:rsidR="00935402" w:rsidRPr="00E27AF7">
        <w:rPr>
          <w:rFonts w:ascii="Cambria" w:hAnsi="Cambria" w:cs="Helvetica"/>
          <w:color w:val="000000" w:themeColor="text1"/>
          <w:sz w:val="22"/>
          <w:szCs w:val="22"/>
        </w:rPr>
        <w:t>standard deviation</w:t>
      </w:r>
      <w:r w:rsidRPr="00E27AF7">
        <w:rPr>
          <w:rFonts w:ascii="Cambria" w:hAnsi="Cambria" w:cs="Helvetica"/>
          <w:color w:val="000000" w:themeColor="text1"/>
          <w:sz w:val="22"/>
          <w:szCs w:val="22"/>
        </w:rPr>
        <w:t xml:space="preserve"> shock</w:t>
      </w:r>
    </w:p>
    <w:p w14:paraId="3FB9C1C0" w14:textId="0E68337F" w:rsidR="0071002C" w:rsidRDefault="0071002C" w:rsidP="0071002C">
      <w:pPr>
        <w:pStyle w:val="NormalWeb"/>
        <w:jc w:val="both"/>
        <w:rPr>
          <w:rFonts w:ascii="Cambria" w:hAnsi="Cambria" w:cs="Helvetica"/>
          <w:color w:val="000000" w:themeColor="text1"/>
          <w:sz w:val="22"/>
          <w:szCs w:val="22"/>
          <w:highlight w:val="yellow"/>
        </w:rPr>
      </w:pPr>
      <w:r w:rsidRPr="00FE47C3">
        <w:rPr>
          <w:rFonts w:ascii="Cambria" w:hAnsi="Cambria" w:cs="Helvetica"/>
          <w:color w:val="000000" w:themeColor="text1"/>
          <w:sz w:val="22"/>
          <w:szCs w:val="22"/>
          <w:highlight w:val="yellow"/>
        </w:rPr>
        <w:t xml:space="preserve">INSERT FIGURE </w:t>
      </w:r>
      <w:r>
        <w:rPr>
          <w:rFonts w:ascii="Cambria" w:hAnsi="Cambria" w:cs="Helvetica"/>
          <w:color w:val="000000" w:themeColor="text1"/>
          <w:sz w:val="22"/>
          <w:szCs w:val="22"/>
          <w:highlight w:val="yellow"/>
        </w:rPr>
        <w:t>14</w:t>
      </w:r>
      <w:r w:rsidRPr="00FE47C3">
        <w:rPr>
          <w:rFonts w:ascii="Cambria" w:hAnsi="Cambria" w:cs="Helvetica"/>
          <w:color w:val="000000" w:themeColor="text1"/>
          <w:sz w:val="22"/>
          <w:szCs w:val="22"/>
          <w:highlight w:val="yellow"/>
        </w:rPr>
        <w:t xml:space="preserve"> </w:t>
      </w:r>
      <w:proofErr w:type="gramStart"/>
      <w:r w:rsidRPr="00FE47C3">
        <w:rPr>
          <w:rFonts w:ascii="Cambria" w:hAnsi="Cambria" w:cs="Helvetica"/>
          <w:color w:val="000000" w:themeColor="text1"/>
          <w:sz w:val="22"/>
          <w:szCs w:val="22"/>
          <w:highlight w:val="yellow"/>
        </w:rPr>
        <w:t xml:space="preserve">HERE </w:t>
      </w:r>
      <w:r>
        <w:rPr>
          <w:rFonts w:ascii="Cambria" w:hAnsi="Cambria" w:cs="Helvetica"/>
          <w:color w:val="000000" w:themeColor="text1"/>
          <w:sz w:val="22"/>
          <w:szCs w:val="22"/>
          <w:highlight w:val="yellow"/>
        </w:rPr>
        <w:t xml:space="preserve"> IN</w:t>
      </w:r>
      <w:proofErr w:type="gramEnd"/>
      <w:r>
        <w:rPr>
          <w:rFonts w:ascii="Cambria" w:hAnsi="Cambria" w:cs="Helvetica"/>
          <w:color w:val="000000" w:themeColor="text1"/>
          <w:sz w:val="22"/>
          <w:szCs w:val="22"/>
          <w:highlight w:val="yellow"/>
        </w:rPr>
        <w:t xml:space="preserve"> FOUR PANELS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002C" w14:paraId="3E58CB35" w14:textId="77777777" w:rsidTr="00F4748F">
        <w:tc>
          <w:tcPr>
            <w:tcW w:w="4675" w:type="dxa"/>
          </w:tcPr>
          <w:p w14:paraId="544AA61C"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A</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Monetary Policy Shock</w:t>
            </w:r>
          </w:p>
          <w:p w14:paraId="4ED373B6" w14:textId="64DD311C"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w:t>
            </w:r>
            <w:r>
              <w:rPr>
                <w:rFonts w:ascii="Cambria" w:hAnsi="Cambria" w:cs="Helvetica"/>
                <w:color w:val="000000" w:themeColor="text1"/>
                <w:sz w:val="22"/>
                <w:szCs w:val="22"/>
                <w:highlight w:val="yellow"/>
              </w:rPr>
              <w:t>14TOPLEFT_MP.PDF</w:t>
            </w:r>
          </w:p>
        </w:tc>
        <w:tc>
          <w:tcPr>
            <w:tcW w:w="4675" w:type="dxa"/>
          </w:tcPr>
          <w:p w14:paraId="210AEA68"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B</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Economic Policy Uncertainty Shock</w:t>
            </w:r>
          </w:p>
          <w:p w14:paraId="3ACF50BA" w14:textId="4D00593F"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 xml:space="preserve">FIGURE </w:t>
            </w:r>
            <w:r>
              <w:rPr>
                <w:rFonts w:ascii="Cambria" w:hAnsi="Cambria" w:cs="Helvetica"/>
                <w:color w:val="000000" w:themeColor="text1"/>
                <w:sz w:val="22"/>
                <w:szCs w:val="22"/>
                <w:highlight w:val="yellow"/>
              </w:rPr>
              <w:t>14TOPRIGHT_EPU.PDF</w:t>
            </w:r>
          </w:p>
        </w:tc>
      </w:tr>
      <w:tr w:rsidR="0071002C" w14:paraId="0FB516BB" w14:textId="77777777" w:rsidTr="00F4748F">
        <w:tc>
          <w:tcPr>
            <w:tcW w:w="4675" w:type="dxa"/>
          </w:tcPr>
          <w:p w14:paraId="6F788FB6"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C</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Geopolitical Risk Shock</w:t>
            </w:r>
          </w:p>
          <w:p w14:paraId="7F2E22B0" w14:textId="42874EA1"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w:t>
            </w:r>
            <w:r>
              <w:rPr>
                <w:rFonts w:ascii="Cambria" w:hAnsi="Cambria" w:cs="Helvetica"/>
                <w:color w:val="000000" w:themeColor="text1"/>
                <w:sz w:val="22"/>
                <w:szCs w:val="22"/>
                <w:highlight w:val="yellow"/>
              </w:rPr>
              <w:t>14BOTTOMLEFT_GPR.PDF</w:t>
            </w:r>
          </w:p>
        </w:tc>
        <w:tc>
          <w:tcPr>
            <w:tcW w:w="4675" w:type="dxa"/>
          </w:tcPr>
          <w:p w14:paraId="27F5B798"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D</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Oil Supply Shock</w:t>
            </w:r>
          </w:p>
          <w:p w14:paraId="18910D3A" w14:textId="099324F5"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 xml:space="preserve">FIGURE </w:t>
            </w:r>
            <w:r>
              <w:rPr>
                <w:rFonts w:ascii="Cambria" w:hAnsi="Cambria" w:cs="Helvetica"/>
                <w:color w:val="000000" w:themeColor="text1"/>
                <w:sz w:val="22"/>
                <w:szCs w:val="22"/>
                <w:highlight w:val="yellow"/>
              </w:rPr>
              <w:t>14BOTTOMRIGHT_OIL.PDF</w:t>
            </w:r>
          </w:p>
        </w:tc>
      </w:tr>
    </w:tbl>
    <w:p w14:paraId="66D06E42" w14:textId="24551C15" w:rsidR="00F03C22" w:rsidRPr="00E27AF7" w:rsidRDefault="00F03C22"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industrial production of World (OECD + BRICS) region, BRICS region and India to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Pr="00E27AF7">
        <w:rPr>
          <w:rFonts w:ascii="Cambria" w:hAnsi="Cambria" w:cs="Helvetica"/>
          <w:color w:val="000000" w:themeColor="text1"/>
          <w:sz w:val="20"/>
          <w:szCs w:val="20"/>
        </w:rPr>
        <w:t xml:space="preserve"> shock. Shaded areas represent one standard deviation confidence intervals. Standard errors are heteroskedasticity and autocorrelation robust Newey West standard errors.  WIIP is an extended version of the OECD's index of monthly industrial production in the OECD and six major other countries developed by </w:t>
      </w:r>
      <w:r w:rsidRPr="00E27AF7">
        <w:rPr>
          <w:rFonts w:ascii="Cambria" w:hAnsi="Cambria"/>
          <w:color w:val="000000" w:themeColor="text1"/>
          <w:sz w:val="20"/>
          <w:szCs w:val="20"/>
        </w:rPr>
        <w:t xml:space="preserve">Baumeister &amp; Hamilton (2019). </w:t>
      </w:r>
      <w:r w:rsidRPr="00E27AF7">
        <w:rPr>
          <w:rFonts w:ascii="Cambria" w:hAnsi="Cambria" w:cs="Helvetica"/>
          <w:color w:val="000000" w:themeColor="text1"/>
          <w:sz w:val="20"/>
          <w:szCs w:val="20"/>
        </w:rPr>
        <w:t xml:space="preserve">The BRICS industrial production data is from World Bank Global Economic Monitor. The sources for shocks are described in the text. Sample: April 1994 -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134C6EDA" w14:textId="3336E174" w:rsidR="0058218B" w:rsidRPr="00094072" w:rsidRDefault="0058218B"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b/>
          <w:i/>
          <w:color w:val="000000" w:themeColor="text1"/>
          <w:sz w:val="24"/>
          <w:szCs w:val="24"/>
        </w:rPr>
      </w:pPr>
      <w:r w:rsidRPr="00094072">
        <w:rPr>
          <w:rFonts w:ascii="Cambria" w:hAnsi="Cambria" w:cs="Helvetica"/>
          <w:b/>
          <w:i/>
          <w:color w:val="000000" w:themeColor="text1"/>
          <w:sz w:val="24"/>
          <w:szCs w:val="24"/>
        </w:rPr>
        <w:t>A.4 Additional Figures</w:t>
      </w:r>
    </w:p>
    <w:p w14:paraId="472FADC9" w14:textId="6522B5C3" w:rsidR="00F03C22" w:rsidRPr="00094072" w:rsidRDefault="00F03C22"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5B73F1EF" w14:textId="2EE7141F" w:rsidR="0058218B" w:rsidRPr="00E27AF7" w:rsidRDefault="0058218B"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lastRenderedPageBreak/>
        <w:t xml:space="preserve">FIGURE 15: Industrial Production response to </w:t>
      </w:r>
      <w:r w:rsidR="0007654D" w:rsidRPr="00E27AF7">
        <w:rPr>
          <w:rFonts w:ascii="Cambria" w:hAnsi="Cambria" w:cs="Helvetica"/>
          <w:color w:val="000000" w:themeColor="text1"/>
          <w:sz w:val="22"/>
          <w:szCs w:val="22"/>
        </w:rPr>
        <w:t xml:space="preserve">one </w:t>
      </w:r>
      <w:r w:rsidR="00935402" w:rsidRPr="00E27AF7">
        <w:rPr>
          <w:rFonts w:ascii="Cambria" w:hAnsi="Cambria" w:cs="Helvetica"/>
          <w:color w:val="000000" w:themeColor="text1"/>
          <w:sz w:val="22"/>
          <w:szCs w:val="22"/>
        </w:rPr>
        <w:t>standard deviation</w:t>
      </w:r>
      <w:r w:rsidRPr="00E27AF7">
        <w:rPr>
          <w:rFonts w:ascii="Cambria" w:hAnsi="Cambria" w:cs="Helvetica"/>
          <w:color w:val="000000" w:themeColor="text1"/>
          <w:sz w:val="22"/>
          <w:szCs w:val="22"/>
        </w:rPr>
        <w:t xml:space="preserve"> shock</w:t>
      </w:r>
    </w:p>
    <w:p w14:paraId="56BCCE45" w14:textId="0FCD5D06" w:rsidR="0071002C" w:rsidRDefault="0071002C" w:rsidP="0071002C">
      <w:pPr>
        <w:pStyle w:val="NormalWeb"/>
        <w:jc w:val="both"/>
        <w:rPr>
          <w:rFonts w:ascii="Cambria" w:hAnsi="Cambria" w:cs="Helvetica"/>
          <w:color w:val="000000" w:themeColor="text1"/>
          <w:sz w:val="22"/>
          <w:szCs w:val="22"/>
          <w:highlight w:val="yellow"/>
        </w:rPr>
      </w:pPr>
      <w:r w:rsidRPr="00FE47C3">
        <w:rPr>
          <w:rFonts w:ascii="Cambria" w:hAnsi="Cambria" w:cs="Helvetica"/>
          <w:color w:val="000000" w:themeColor="text1"/>
          <w:sz w:val="22"/>
          <w:szCs w:val="22"/>
          <w:highlight w:val="yellow"/>
        </w:rPr>
        <w:t xml:space="preserve">INSERT FIGURE </w:t>
      </w:r>
      <w:r>
        <w:rPr>
          <w:rFonts w:ascii="Cambria" w:hAnsi="Cambria" w:cs="Helvetica"/>
          <w:color w:val="000000" w:themeColor="text1"/>
          <w:sz w:val="22"/>
          <w:szCs w:val="22"/>
          <w:highlight w:val="yellow"/>
        </w:rPr>
        <w:t>15</w:t>
      </w:r>
      <w:r w:rsidRPr="00FE47C3">
        <w:rPr>
          <w:rFonts w:ascii="Cambria" w:hAnsi="Cambria" w:cs="Helvetica"/>
          <w:color w:val="000000" w:themeColor="text1"/>
          <w:sz w:val="22"/>
          <w:szCs w:val="22"/>
          <w:highlight w:val="yellow"/>
        </w:rPr>
        <w:t xml:space="preserve"> </w:t>
      </w:r>
      <w:proofErr w:type="gramStart"/>
      <w:r w:rsidRPr="00FE47C3">
        <w:rPr>
          <w:rFonts w:ascii="Cambria" w:hAnsi="Cambria" w:cs="Helvetica"/>
          <w:color w:val="000000" w:themeColor="text1"/>
          <w:sz w:val="22"/>
          <w:szCs w:val="22"/>
          <w:highlight w:val="yellow"/>
        </w:rPr>
        <w:t xml:space="preserve">HERE </w:t>
      </w:r>
      <w:r>
        <w:rPr>
          <w:rFonts w:ascii="Cambria" w:hAnsi="Cambria" w:cs="Helvetica"/>
          <w:color w:val="000000" w:themeColor="text1"/>
          <w:sz w:val="22"/>
          <w:szCs w:val="22"/>
          <w:highlight w:val="yellow"/>
        </w:rPr>
        <w:t xml:space="preserve"> IN</w:t>
      </w:r>
      <w:proofErr w:type="gramEnd"/>
      <w:r>
        <w:rPr>
          <w:rFonts w:ascii="Cambria" w:hAnsi="Cambria" w:cs="Helvetica"/>
          <w:color w:val="000000" w:themeColor="text1"/>
          <w:sz w:val="22"/>
          <w:szCs w:val="22"/>
          <w:highlight w:val="yellow"/>
        </w:rPr>
        <w:t xml:space="preserve"> FOUR PANELS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1002C" w14:paraId="5EF4E4E5" w14:textId="77777777" w:rsidTr="00F4748F">
        <w:tc>
          <w:tcPr>
            <w:tcW w:w="4675" w:type="dxa"/>
          </w:tcPr>
          <w:p w14:paraId="24420E2D"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A</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Monetary Policy Shock</w:t>
            </w:r>
          </w:p>
          <w:p w14:paraId="15269769" w14:textId="5E15344C"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w:t>
            </w:r>
            <w:r>
              <w:rPr>
                <w:rFonts w:ascii="Cambria" w:hAnsi="Cambria" w:cs="Helvetica"/>
                <w:color w:val="000000" w:themeColor="text1"/>
                <w:sz w:val="22"/>
                <w:szCs w:val="22"/>
                <w:highlight w:val="yellow"/>
              </w:rPr>
              <w:t>15TOPLEFT_MP.PDF</w:t>
            </w:r>
          </w:p>
        </w:tc>
        <w:tc>
          <w:tcPr>
            <w:tcW w:w="4675" w:type="dxa"/>
          </w:tcPr>
          <w:p w14:paraId="048B606E"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B</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Economic Policy Uncertainty Shock</w:t>
            </w:r>
          </w:p>
          <w:p w14:paraId="71FF01CC" w14:textId="39D4FB24"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 xml:space="preserve">FIGURE </w:t>
            </w:r>
            <w:r>
              <w:rPr>
                <w:rFonts w:ascii="Cambria" w:hAnsi="Cambria" w:cs="Helvetica"/>
                <w:color w:val="000000" w:themeColor="text1"/>
                <w:sz w:val="22"/>
                <w:szCs w:val="22"/>
                <w:highlight w:val="yellow"/>
              </w:rPr>
              <w:t>15TOPRIGHT_EPU.PDF</w:t>
            </w:r>
          </w:p>
        </w:tc>
      </w:tr>
      <w:tr w:rsidR="0071002C" w14:paraId="2B45A1BA" w14:textId="77777777" w:rsidTr="00F4748F">
        <w:tc>
          <w:tcPr>
            <w:tcW w:w="4675" w:type="dxa"/>
          </w:tcPr>
          <w:p w14:paraId="73FE13B5"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C</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Geopolitical Risk Shock</w:t>
            </w:r>
          </w:p>
          <w:p w14:paraId="754703E2" w14:textId="5EECDFF9"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FIGURE</w:t>
            </w:r>
            <w:r>
              <w:rPr>
                <w:rFonts w:ascii="Cambria" w:hAnsi="Cambria" w:cs="Helvetica"/>
                <w:color w:val="000000" w:themeColor="text1"/>
                <w:sz w:val="22"/>
                <w:szCs w:val="22"/>
                <w:highlight w:val="yellow"/>
              </w:rPr>
              <w:t>15BOTTOMLEFT_GPR.PDF</w:t>
            </w:r>
          </w:p>
        </w:tc>
        <w:tc>
          <w:tcPr>
            <w:tcW w:w="4675" w:type="dxa"/>
          </w:tcPr>
          <w:p w14:paraId="406CDC21" w14:textId="77777777" w:rsidR="0071002C" w:rsidRPr="002B35EE" w:rsidRDefault="0071002C" w:rsidP="00F4748F">
            <w:pPr>
              <w:pStyle w:val="NormalWeb"/>
              <w:jc w:val="both"/>
              <w:rPr>
                <w:rFonts w:ascii="Cambria" w:hAnsi="Cambria" w:cs="Helvetica"/>
                <w:color w:val="000000" w:themeColor="text1"/>
                <w:sz w:val="22"/>
                <w:szCs w:val="22"/>
              </w:rPr>
            </w:pPr>
            <w:r>
              <w:rPr>
                <w:rFonts w:ascii="Cambria" w:hAnsi="Cambria" w:cs="Helvetica"/>
                <w:color w:val="000000" w:themeColor="text1"/>
                <w:sz w:val="22"/>
                <w:szCs w:val="22"/>
              </w:rPr>
              <w:t>D</w:t>
            </w:r>
            <w:r w:rsidRPr="002B35EE">
              <w:rPr>
                <w:rFonts w:ascii="Cambria" w:hAnsi="Cambria" w:cs="Helvetica"/>
                <w:color w:val="000000" w:themeColor="text1"/>
                <w:sz w:val="22"/>
                <w:szCs w:val="22"/>
              </w:rPr>
              <w:t xml:space="preserve">: </w:t>
            </w:r>
            <w:r>
              <w:rPr>
                <w:rFonts w:ascii="Cambria" w:hAnsi="Cambria" w:cs="Helvetica"/>
                <w:color w:val="000000" w:themeColor="text1"/>
                <w:sz w:val="22"/>
                <w:szCs w:val="22"/>
              </w:rPr>
              <w:t>Oil Supply Shock</w:t>
            </w:r>
          </w:p>
          <w:p w14:paraId="2B45AE8A" w14:textId="1110DC19" w:rsidR="0071002C" w:rsidRDefault="0071002C" w:rsidP="00F4748F">
            <w:pPr>
              <w:pStyle w:val="NormalWeb"/>
              <w:jc w:val="both"/>
              <w:rPr>
                <w:rFonts w:ascii="Cambria" w:hAnsi="Cambria" w:cs="Helvetica"/>
                <w:color w:val="000000" w:themeColor="text1"/>
                <w:sz w:val="22"/>
                <w:szCs w:val="22"/>
                <w:highlight w:val="yellow"/>
              </w:rPr>
            </w:pPr>
            <w:r>
              <w:rPr>
                <w:rFonts w:ascii="Cambria" w:hAnsi="Cambria" w:cs="Helvetica"/>
                <w:color w:val="000000" w:themeColor="text1"/>
                <w:sz w:val="22"/>
                <w:szCs w:val="22"/>
                <w:highlight w:val="yellow"/>
              </w:rPr>
              <w:t xml:space="preserve">INSERT </w:t>
            </w:r>
            <w:r w:rsidRPr="00FE47C3">
              <w:rPr>
                <w:rFonts w:ascii="Cambria" w:hAnsi="Cambria" w:cs="Helvetica"/>
                <w:color w:val="000000" w:themeColor="text1"/>
                <w:sz w:val="22"/>
                <w:szCs w:val="22"/>
                <w:highlight w:val="yellow"/>
              </w:rPr>
              <w:t xml:space="preserve">FIGURE </w:t>
            </w:r>
            <w:r>
              <w:rPr>
                <w:rFonts w:ascii="Cambria" w:hAnsi="Cambria" w:cs="Helvetica"/>
                <w:color w:val="000000" w:themeColor="text1"/>
                <w:sz w:val="22"/>
                <w:szCs w:val="22"/>
                <w:highlight w:val="yellow"/>
              </w:rPr>
              <w:t>15BOTTOMRIGHT_OIL.PDF</w:t>
            </w:r>
          </w:p>
        </w:tc>
      </w:tr>
    </w:tbl>
    <w:p w14:paraId="6F1E7739" w14:textId="4B87FD42" w:rsidR="0058218B" w:rsidRPr="00E27AF7" w:rsidRDefault="0058218B"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w:t>
      </w:r>
      <w:r w:rsidR="00A1440D" w:rsidRPr="00E27AF7">
        <w:rPr>
          <w:rFonts w:ascii="Cambria" w:hAnsi="Cambria" w:cs="Helvetica"/>
          <w:color w:val="000000" w:themeColor="text1"/>
          <w:sz w:val="20"/>
          <w:szCs w:val="20"/>
        </w:rPr>
        <w:t>of industrial</w:t>
      </w:r>
      <w:r w:rsidRPr="00E27AF7">
        <w:rPr>
          <w:rFonts w:ascii="Cambria" w:hAnsi="Cambria" w:cs="Helvetica"/>
          <w:color w:val="000000" w:themeColor="text1"/>
          <w:sz w:val="20"/>
          <w:szCs w:val="20"/>
        </w:rPr>
        <w:t xml:space="preserve"> production of BRICS countries to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Pr="00E27AF7">
        <w:rPr>
          <w:rFonts w:ascii="Cambria" w:hAnsi="Cambria" w:cs="Helvetica"/>
          <w:color w:val="000000" w:themeColor="text1"/>
          <w:sz w:val="20"/>
          <w:szCs w:val="20"/>
        </w:rPr>
        <w:t xml:space="preserve"> shock. Shaded areas represent one standard deviation confidence intervals. Standard errors are heteroskedasticity and autocorrelation robust Newey West standard errors.  he BRICS industrial production data is from World Bank Global Economic Monitor. The sources for shocks are described in the text. Sample: April 1994 -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6631AECF"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650029D8" w14:textId="629B0C90" w:rsidR="003A6EFF" w:rsidRPr="00E27AF7" w:rsidRDefault="003A6EFF"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16: LP responses to </w:t>
      </w:r>
      <w:r w:rsidR="0007654D" w:rsidRPr="00E27AF7">
        <w:rPr>
          <w:rFonts w:ascii="Cambria" w:hAnsi="Cambria" w:cs="Helvetica"/>
          <w:color w:val="000000" w:themeColor="text1"/>
          <w:sz w:val="22"/>
          <w:szCs w:val="22"/>
        </w:rPr>
        <w:t xml:space="preserve">one </w:t>
      </w:r>
      <w:r w:rsidR="00935402" w:rsidRPr="00E27AF7">
        <w:rPr>
          <w:rFonts w:ascii="Cambria" w:hAnsi="Cambria" w:cs="Helvetica"/>
          <w:color w:val="000000" w:themeColor="text1"/>
          <w:sz w:val="22"/>
          <w:szCs w:val="22"/>
        </w:rPr>
        <w:t>standard deviation</w:t>
      </w:r>
      <w:r w:rsidRPr="00E27AF7">
        <w:rPr>
          <w:rFonts w:ascii="Cambria" w:hAnsi="Cambria" w:cs="Helvetica"/>
          <w:color w:val="000000" w:themeColor="text1"/>
          <w:sz w:val="22"/>
          <w:szCs w:val="22"/>
        </w:rPr>
        <w:t xml:space="preserve"> monetary policy shocks</w:t>
      </w:r>
    </w:p>
    <w:p w14:paraId="52522BB1" w14:textId="284B4941" w:rsidR="003A6EFF" w:rsidRPr="00094072" w:rsidRDefault="003A6EFF" w:rsidP="009E2F52">
      <w:pPr>
        <w:pStyle w:val="NormalWeb"/>
        <w:jc w:val="both"/>
        <w:rPr>
          <w:rFonts w:ascii="Cambria" w:hAnsi="Cambria"/>
          <w:color w:val="000000" w:themeColor="text1"/>
        </w:rPr>
      </w:pPr>
      <w:r w:rsidRPr="00E27AF7">
        <w:rPr>
          <w:rFonts w:ascii="Cambria" w:hAnsi="Cambria" w:cs="Helvetica"/>
          <w:color w:val="000000" w:themeColor="text1"/>
          <w:highlight w:val="yellow"/>
        </w:rPr>
        <w:t>INSERT FIGURE 16 HERE</w:t>
      </w:r>
      <w:r w:rsidRPr="00094072">
        <w:rPr>
          <w:rFonts w:ascii="Cambria" w:hAnsi="Cambria" w:cs="Helvetica"/>
          <w:color w:val="000000" w:themeColor="text1"/>
        </w:rPr>
        <w:t xml:space="preserve"> </w:t>
      </w:r>
    </w:p>
    <w:p w14:paraId="3563188B" w14:textId="0CDBCD92" w:rsidR="003A6EFF" w:rsidRPr="00E27AF7" w:rsidRDefault="003A6EFF"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monthly industrial production, consumer price index, USD/INR nominal exchange rate, </w:t>
      </w:r>
      <w:r w:rsidR="005D2E31" w:rsidRPr="00E27AF7">
        <w:rPr>
          <w:rFonts w:ascii="Cambria" w:hAnsi="Cambria" w:cs="Helvetica"/>
          <w:color w:val="000000" w:themeColor="text1"/>
          <w:sz w:val="20"/>
          <w:szCs w:val="20"/>
        </w:rPr>
        <w:t>ten-year</w:t>
      </w:r>
      <w:r w:rsidRPr="00E27AF7">
        <w:rPr>
          <w:rFonts w:ascii="Cambria" w:hAnsi="Cambria" w:cs="Helvetica"/>
          <w:color w:val="000000" w:themeColor="text1"/>
          <w:sz w:val="20"/>
          <w:szCs w:val="20"/>
        </w:rPr>
        <w:t xml:space="preserve"> government bond rate, stock market index, and total reserves (excluding gold) </w:t>
      </w:r>
      <w:r w:rsidR="0047052F" w:rsidRPr="00E27AF7">
        <w:rPr>
          <w:rFonts w:ascii="Cambria" w:hAnsi="Cambria" w:cs="Helvetica"/>
          <w:color w:val="000000" w:themeColor="text1"/>
          <w:sz w:val="20"/>
          <w:szCs w:val="20"/>
        </w:rPr>
        <w:t xml:space="preserve">outstanding to </w:t>
      </w:r>
      <w:r w:rsidRPr="00E27AF7">
        <w:rPr>
          <w:rFonts w:ascii="Cambria" w:hAnsi="Cambria" w:cs="Helvetica"/>
          <w:color w:val="000000" w:themeColor="text1"/>
          <w:sz w:val="20"/>
          <w:szCs w:val="20"/>
        </w:rPr>
        <w:t xml:space="preserve">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Pr="00E27AF7">
        <w:rPr>
          <w:rFonts w:ascii="Cambria" w:hAnsi="Cambria" w:cs="Helvetica"/>
          <w:color w:val="000000" w:themeColor="text1"/>
          <w:sz w:val="20"/>
          <w:szCs w:val="20"/>
        </w:rPr>
        <w:t xml:space="preserve"> identified shock to US monetary policy rate. Shaded areas represent one standard deviation confidence intervals. Standard errors are heteroskedasticity and autocorrelation robust Newey West standard errors. The sources for data series are described in the text.  Solid Blue line plots the estimated IRF for full sample from April 1994 to December 2017. The dashed brown line plots the estimated IRF for post 2005 sample from January 2006 to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6DD20AFA" w14:textId="77777777"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1F1F3755" w14:textId="6E8BDD48" w:rsidR="00ED040C" w:rsidRPr="00E27AF7" w:rsidRDefault="00ED040C"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17: LP responses to </w:t>
      </w:r>
      <w:r w:rsidR="0007654D" w:rsidRPr="00E27AF7">
        <w:rPr>
          <w:rFonts w:ascii="Cambria" w:hAnsi="Cambria" w:cs="Helvetica"/>
          <w:color w:val="000000" w:themeColor="text1"/>
          <w:sz w:val="22"/>
          <w:szCs w:val="22"/>
        </w:rPr>
        <w:t xml:space="preserve">one </w:t>
      </w:r>
      <w:r w:rsidR="00935402" w:rsidRPr="00E27AF7">
        <w:rPr>
          <w:rFonts w:ascii="Cambria" w:hAnsi="Cambria" w:cs="Helvetica"/>
          <w:color w:val="000000" w:themeColor="text1"/>
          <w:sz w:val="22"/>
          <w:szCs w:val="22"/>
        </w:rPr>
        <w:t>standard deviation</w:t>
      </w:r>
      <w:r w:rsidRPr="00E27AF7">
        <w:rPr>
          <w:rFonts w:ascii="Cambria" w:hAnsi="Cambria" w:cs="Helvetica"/>
          <w:color w:val="000000" w:themeColor="text1"/>
          <w:sz w:val="22"/>
          <w:szCs w:val="22"/>
        </w:rPr>
        <w:t xml:space="preserve"> economic policy uncertainty shocks</w:t>
      </w:r>
    </w:p>
    <w:p w14:paraId="0B9A8881" w14:textId="4817DB97" w:rsidR="00ED040C" w:rsidRPr="00094072" w:rsidRDefault="00ED040C" w:rsidP="009E2F52">
      <w:pPr>
        <w:pStyle w:val="NormalWeb"/>
        <w:jc w:val="both"/>
        <w:rPr>
          <w:rFonts w:ascii="Cambria" w:hAnsi="Cambria"/>
          <w:color w:val="000000" w:themeColor="text1"/>
        </w:rPr>
      </w:pPr>
      <w:r w:rsidRPr="00E27AF7">
        <w:rPr>
          <w:rFonts w:ascii="Cambria" w:hAnsi="Cambria" w:cs="Helvetica"/>
          <w:color w:val="000000" w:themeColor="text1"/>
          <w:highlight w:val="yellow"/>
        </w:rPr>
        <w:t>INSERT FIGURE 17 HERE</w:t>
      </w:r>
      <w:r w:rsidRPr="00094072">
        <w:rPr>
          <w:rFonts w:ascii="Cambria" w:hAnsi="Cambria" w:cs="Helvetica"/>
          <w:color w:val="000000" w:themeColor="text1"/>
        </w:rPr>
        <w:t xml:space="preserve"> </w:t>
      </w:r>
    </w:p>
    <w:p w14:paraId="4273816C" w14:textId="67B4993C" w:rsidR="00ED040C" w:rsidRPr="00E27AF7" w:rsidRDefault="00ED040C"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monthly industrial production, consumer price index, USD/INR nominal exchange rate, </w:t>
      </w:r>
      <w:r w:rsidR="005D2E31" w:rsidRPr="00E27AF7">
        <w:rPr>
          <w:rFonts w:ascii="Cambria" w:hAnsi="Cambria" w:cs="Helvetica"/>
          <w:color w:val="000000" w:themeColor="text1"/>
          <w:sz w:val="20"/>
          <w:szCs w:val="20"/>
        </w:rPr>
        <w:t>ten-year</w:t>
      </w:r>
      <w:r w:rsidRPr="00E27AF7">
        <w:rPr>
          <w:rFonts w:ascii="Cambria" w:hAnsi="Cambria" w:cs="Helvetica"/>
          <w:color w:val="000000" w:themeColor="text1"/>
          <w:sz w:val="20"/>
          <w:szCs w:val="20"/>
        </w:rPr>
        <w:t xml:space="preserve"> government bond rate, stock market index, and total reserves (excluding gold) </w:t>
      </w:r>
      <w:r w:rsidR="005D2E31" w:rsidRPr="00E27AF7">
        <w:rPr>
          <w:rFonts w:ascii="Cambria" w:hAnsi="Cambria" w:cs="Helvetica"/>
          <w:color w:val="000000" w:themeColor="text1"/>
          <w:sz w:val="20"/>
          <w:szCs w:val="20"/>
        </w:rPr>
        <w:t>outstanding to</w:t>
      </w:r>
      <w:r w:rsidRPr="00E27AF7">
        <w:rPr>
          <w:rFonts w:ascii="Cambria" w:hAnsi="Cambria" w:cs="Helvetica"/>
          <w:color w:val="000000" w:themeColor="text1"/>
          <w:sz w:val="20"/>
          <w:szCs w:val="20"/>
        </w:rPr>
        <w:t xml:space="preserve">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Pr="00E27AF7">
        <w:rPr>
          <w:rFonts w:ascii="Cambria" w:hAnsi="Cambria" w:cs="Helvetica"/>
          <w:color w:val="000000" w:themeColor="text1"/>
          <w:sz w:val="20"/>
          <w:szCs w:val="20"/>
        </w:rPr>
        <w:t xml:space="preserve"> identified shock to global economic policy uncertainty. Shaded areas represent one standard deviation confidence intervals. Standard errors are heteroskedasticity and autocorrelation robust Newey West standard errors. The sources for data series are described in the text.  Solid Blue line plots the estimated IRF for full sample from April 1994 to December 2017. The dashed brown line plots the estimated IRF for post 2005 sample from January 2006 to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2DFC0E9C" w14:textId="6438EDCA"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77074B40" w14:textId="6DDED387" w:rsidR="00ED040C" w:rsidRPr="00094072" w:rsidRDefault="00ED040C"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0921F5B1" w14:textId="7705D4F6" w:rsidR="00AC6B7E" w:rsidRPr="00E27AF7" w:rsidRDefault="00AC6B7E"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18: LP responses to </w:t>
      </w:r>
      <w:r w:rsidR="009A1234" w:rsidRPr="00E27AF7">
        <w:rPr>
          <w:rFonts w:ascii="Cambria" w:hAnsi="Cambria" w:cs="Helvetica"/>
          <w:color w:val="000000" w:themeColor="text1"/>
          <w:sz w:val="22"/>
          <w:szCs w:val="22"/>
        </w:rPr>
        <w:t xml:space="preserve">one standard deviation </w:t>
      </w:r>
      <w:r w:rsidR="000011C0" w:rsidRPr="00E27AF7">
        <w:rPr>
          <w:rFonts w:ascii="Cambria" w:hAnsi="Cambria" w:cs="Helvetica"/>
          <w:color w:val="000000" w:themeColor="text1"/>
          <w:sz w:val="22"/>
          <w:szCs w:val="22"/>
        </w:rPr>
        <w:t>change</w:t>
      </w:r>
      <w:r w:rsidRPr="00E27AF7">
        <w:rPr>
          <w:rFonts w:ascii="Cambria" w:hAnsi="Cambria" w:cs="Helvetica"/>
          <w:color w:val="000000" w:themeColor="text1"/>
          <w:sz w:val="22"/>
          <w:szCs w:val="22"/>
        </w:rPr>
        <w:t xml:space="preserve"> in VIX</w:t>
      </w:r>
    </w:p>
    <w:p w14:paraId="76DB2DE3" w14:textId="41A12FCF" w:rsidR="00AC6B7E" w:rsidRPr="00094072" w:rsidRDefault="00AC6B7E" w:rsidP="009E2F52">
      <w:pPr>
        <w:pStyle w:val="NormalWeb"/>
        <w:jc w:val="both"/>
        <w:rPr>
          <w:rFonts w:ascii="Cambria" w:hAnsi="Cambria"/>
          <w:color w:val="000000" w:themeColor="text1"/>
        </w:rPr>
      </w:pPr>
      <w:r w:rsidRPr="00E27AF7">
        <w:rPr>
          <w:rFonts w:ascii="Cambria" w:hAnsi="Cambria" w:cs="Helvetica"/>
          <w:color w:val="000000" w:themeColor="text1"/>
          <w:highlight w:val="yellow"/>
        </w:rPr>
        <w:lastRenderedPageBreak/>
        <w:t>INSERT FIGURE 18 HERE</w:t>
      </w:r>
      <w:r w:rsidRPr="00094072">
        <w:rPr>
          <w:rFonts w:ascii="Cambria" w:hAnsi="Cambria" w:cs="Helvetica"/>
          <w:color w:val="000000" w:themeColor="text1"/>
        </w:rPr>
        <w:t xml:space="preserve"> </w:t>
      </w:r>
    </w:p>
    <w:p w14:paraId="517C4C35" w14:textId="1CC48C97" w:rsidR="00AC6B7E" w:rsidRPr="00E27AF7" w:rsidRDefault="00AC6B7E"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Response of monthly industrial production, consumer price index, USD/INR nominal exchange rate, </w:t>
      </w:r>
      <w:r w:rsidR="005D2E31" w:rsidRPr="00E27AF7">
        <w:rPr>
          <w:rFonts w:ascii="Cambria" w:hAnsi="Cambria" w:cs="Helvetica"/>
          <w:color w:val="000000" w:themeColor="text1"/>
          <w:sz w:val="20"/>
          <w:szCs w:val="20"/>
        </w:rPr>
        <w:t>ten-year</w:t>
      </w:r>
      <w:r w:rsidRPr="00E27AF7">
        <w:rPr>
          <w:rFonts w:ascii="Cambria" w:hAnsi="Cambria" w:cs="Helvetica"/>
          <w:color w:val="000000" w:themeColor="text1"/>
          <w:sz w:val="20"/>
          <w:szCs w:val="20"/>
        </w:rPr>
        <w:t xml:space="preserve"> government bond rate, stock market index, and total reserves (excluding gold) </w:t>
      </w:r>
      <w:r w:rsidR="00EC0373" w:rsidRPr="00E27AF7">
        <w:rPr>
          <w:rFonts w:ascii="Cambria" w:hAnsi="Cambria" w:cs="Helvetica"/>
          <w:color w:val="000000" w:themeColor="text1"/>
          <w:sz w:val="20"/>
          <w:szCs w:val="20"/>
        </w:rPr>
        <w:t>outstanding to</w:t>
      </w:r>
      <w:r w:rsidRPr="00E27AF7">
        <w:rPr>
          <w:rFonts w:ascii="Cambria" w:hAnsi="Cambria" w:cs="Helvetica"/>
          <w:color w:val="000000" w:themeColor="text1"/>
          <w:sz w:val="20"/>
          <w:szCs w:val="20"/>
        </w:rPr>
        <w:t xml:space="preserve"> a </w:t>
      </w:r>
      <w:r w:rsidR="00815C0D" w:rsidRPr="00E27AF7">
        <w:rPr>
          <w:rFonts w:ascii="Cambria" w:hAnsi="Cambria" w:cs="Helvetica"/>
          <w:color w:val="000000" w:themeColor="text1"/>
          <w:sz w:val="20"/>
          <w:szCs w:val="20"/>
        </w:rPr>
        <w:t xml:space="preserve">one </w:t>
      </w:r>
      <w:r w:rsidRPr="00E27AF7">
        <w:rPr>
          <w:rFonts w:ascii="Cambria" w:hAnsi="Cambria" w:cs="Helvetica"/>
          <w:color w:val="000000" w:themeColor="text1"/>
          <w:sz w:val="20"/>
          <w:szCs w:val="20"/>
        </w:rPr>
        <w:t>st</w:t>
      </w:r>
      <w:r w:rsidR="00F64C7C" w:rsidRPr="00E27AF7">
        <w:rPr>
          <w:rFonts w:ascii="Cambria" w:hAnsi="Cambria" w:cs="Helvetica"/>
          <w:color w:val="000000" w:themeColor="text1"/>
          <w:sz w:val="20"/>
          <w:szCs w:val="20"/>
        </w:rPr>
        <w:t>andar</w:t>
      </w:r>
      <w:r w:rsidRPr="00E27AF7">
        <w:rPr>
          <w:rFonts w:ascii="Cambria" w:hAnsi="Cambria" w:cs="Helvetica"/>
          <w:color w:val="000000" w:themeColor="text1"/>
          <w:sz w:val="20"/>
          <w:szCs w:val="20"/>
        </w:rPr>
        <w:t xml:space="preserve">d deviation change in VIX. Shaded areas represent one standard deviation confidence intervals. Standard errors are heteroskedasticity and autocorrelation robust Newey West standard errors. The sources for data series are described in the text.  Solid Blue line plots the estimated IRF for full sample from April 1994 to December 2017. The dashed brown line plots the estimated IRF for post 2005 sample from January 2006 to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1865D6DC" w14:textId="4A22111F" w:rsidR="00ED040C" w:rsidRPr="00094072" w:rsidRDefault="00ED040C"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126FE02F" w14:textId="0747E660" w:rsidR="00EB49EE" w:rsidRPr="00E27AF7" w:rsidRDefault="00EB49EE"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 xml:space="preserve">FIGURE 19: LP responses to one standard deviation movement </w:t>
      </w:r>
      <w:r w:rsidR="005D2E31" w:rsidRPr="00E27AF7">
        <w:rPr>
          <w:rFonts w:ascii="Cambria" w:hAnsi="Cambria" w:cs="Helvetica"/>
          <w:color w:val="000000" w:themeColor="text1"/>
          <w:sz w:val="22"/>
          <w:szCs w:val="22"/>
        </w:rPr>
        <w:t>in Geopolitical</w:t>
      </w:r>
      <w:r w:rsidRPr="00E27AF7">
        <w:rPr>
          <w:rFonts w:ascii="Cambria" w:hAnsi="Cambria" w:cs="Helvetica"/>
          <w:color w:val="000000" w:themeColor="text1"/>
          <w:sz w:val="22"/>
          <w:szCs w:val="22"/>
        </w:rPr>
        <w:t xml:space="preserve"> Risk </w:t>
      </w:r>
      <w:r w:rsidR="00F047CA" w:rsidRPr="00E27AF7">
        <w:rPr>
          <w:rFonts w:ascii="Cambria" w:hAnsi="Cambria" w:cs="Helvetica"/>
          <w:color w:val="000000" w:themeColor="text1"/>
          <w:sz w:val="22"/>
          <w:szCs w:val="22"/>
        </w:rPr>
        <w:t>shocks</w:t>
      </w:r>
    </w:p>
    <w:p w14:paraId="68F81854" w14:textId="592E184E" w:rsidR="00EB49EE" w:rsidRPr="00094072" w:rsidRDefault="00EB49EE" w:rsidP="009E2F52">
      <w:pPr>
        <w:pStyle w:val="NormalWeb"/>
        <w:jc w:val="both"/>
        <w:rPr>
          <w:rFonts w:ascii="Cambria" w:hAnsi="Cambria"/>
          <w:color w:val="000000" w:themeColor="text1"/>
        </w:rPr>
      </w:pPr>
      <w:r w:rsidRPr="00E27AF7">
        <w:rPr>
          <w:rFonts w:ascii="Cambria" w:hAnsi="Cambria" w:cs="Helvetica"/>
          <w:color w:val="000000" w:themeColor="text1"/>
          <w:highlight w:val="yellow"/>
        </w:rPr>
        <w:t>INSERT FIGURE 19 HERE</w:t>
      </w:r>
      <w:r w:rsidRPr="00094072">
        <w:rPr>
          <w:rFonts w:ascii="Cambria" w:hAnsi="Cambria" w:cs="Helvetica"/>
          <w:color w:val="000000" w:themeColor="text1"/>
        </w:rPr>
        <w:t xml:space="preserve"> </w:t>
      </w:r>
    </w:p>
    <w:p w14:paraId="10CA43A2" w14:textId="5E22DB5F" w:rsidR="00EB49EE" w:rsidRPr="00E27AF7" w:rsidRDefault="00EB49EE"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w:t>
      </w:r>
      <w:r w:rsidR="0076414E" w:rsidRPr="00E27AF7">
        <w:rPr>
          <w:rFonts w:ascii="Cambria" w:hAnsi="Cambria" w:cs="Helvetica"/>
          <w:color w:val="000000" w:themeColor="text1"/>
          <w:sz w:val="20"/>
          <w:szCs w:val="20"/>
        </w:rPr>
        <w:t xml:space="preserve">Response of monthly industrial production, consumer price index, USD/INR nominal exchange rate, </w:t>
      </w:r>
      <w:r w:rsidR="005D2E31" w:rsidRPr="00E27AF7">
        <w:rPr>
          <w:rFonts w:ascii="Cambria" w:hAnsi="Cambria" w:cs="Helvetica"/>
          <w:color w:val="000000" w:themeColor="text1"/>
          <w:sz w:val="20"/>
          <w:szCs w:val="20"/>
        </w:rPr>
        <w:t>ten-year</w:t>
      </w:r>
      <w:r w:rsidR="0076414E" w:rsidRPr="00E27AF7">
        <w:rPr>
          <w:rFonts w:ascii="Cambria" w:hAnsi="Cambria" w:cs="Helvetica"/>
          <w:color w:val="000000" w:themeColor="text1"/>
          <w:sz w:val="20"/>
          <w:szCs w:val="20"/>
        </w:rPr>
        <w:t xml:space="preserve"> government bond rate, stock market index, and total reserves (excluding gold) outstanding to 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0076414E" w:rsidRPr="00E27AF7">
        <w:rPr>
          <w:rFonts w:ascii="Cambria" w:hAnsi="Cambria" w:cs="Helvetica"/>
          <w:color w:val="000000" w:themeColor="text1"/>
          <w:sz w:val="20"/>
          <w:szCs w:val="20"/>
        </w:rPr>
        <w:t xml:space="preserve"> identified shock to geopolitical risk measure. Shaded areas represent one standard deviation confidence intervals. Standard errors are heteroskedasticity and autocorrelation robust Newey West standard errors. The sources for data series are described in the text.  Solid Blue line plots the estimated IRF for full sample from April 1994 to December 2017. The dashed brown line plots the estimated IRF for post 2005 sample from January 2006 to December 2017.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17F7A489" w14:textId="77777777" w:rsidR="00EB49EE" w:rsidRPr="00094072" w:rsidRDefault="00EB49EE"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24B47E77" w14:textId="298A74C5" w:rsidR="00F047CA" w:rsidRPr="00E27AF7" w:rsidRDefault="00F047CA" w:rsidP="009E2F52">
      <w:pPr>
        <w:pStyle w:val="NormalWeb"/>
        <w:jc w:val="both"/>
        <w:rPr>
          <w:rFonts w:ascii="Cambria" w:hAnsi="Cambria"/>
          <w:color w:val="000000" w:themeColor="text1"/>
          <w:sz w:val="22"/>
          <w:szCs w:val="22"/>
        </w:rPr>
      </w:pPr>
      <w:r w:rsidRPr="00E27AF7">
        <w:rPr>
          <w:rFonts w:ascii="Cambria" w:hAnsi="Cambria" w:cs="Helvetica"/>
          <w:color w:val="000000" w:themeColor="text1"/>
          <w:sz w:val="22"/>
          <w:szCs w:val="22"/>
        </w:rPr>
        <w:t>FIGURE 20: LP responses to one standard deviation movement in oil supply shocks</w:t>
      </w:r>
    </w:p>
    <w:p w14:paraId="3B645467" w14:textId="67B502D7" w:rsidR="00F047CA" w:rsidRPr="00094072" w:rsidRDefault="00F047CA" w:rsidP="009E2F52">
      <w:pPr>
        <w:pStyle w:val="NormalWeb"/>
        <w:jc w:val="both"/>
        <w:rPr>
          <w:rFonts w:ascii="Cambria" w:hAnsi="Cambria"/>
          <w:color w:val="000000" w:themeColor="text1"/>
        </w:rPr>
      </w:pPr>
      <w:r w:rsidRPr="00E27AF7">
        <w:rPr>
          <w:rFonts w:ascii="Cambria" w:hAnsi="Cambria" w:cs="Helvetica"/>
          <w:color w:val="000000" w:themeColor="text1"/>
          <w:highlight w:val="yellow"/>
        </w:rPr>
        <w:t xml:space="preserve">INSERT FIGURE </w:t>
      </w:r>
      <w:r w:rsidR="00B546E6" w:rsidRPr="00E27AF7">
        <w:rPr>
          <w:rFonts w:ascii="Cambria" w:hAnsi="Cambria" w:cs="Helvetica"/>
          <w:color w:val="000000" w:themeColor="text1"/>
          <w:highlight w:val="yellow"/>
        </w:rPr>
        <w:t>20</w:t>
      </w:r>
      <w:r w:rsidRPr="00E27AF7">
        <w:rPr>
          <w:rFonts w:ascii="Cambria" w:hAnsi="Cambria" w:cs="Helvetica"/>
          <w:color w:val="000000" w:themeColor="text1"/>
          <w:highlight w:val="yellow"/>
        </w:rPr>
        <w:t xml:space="preserve"> HERE</w:t>
      </w:r>
      <w:r w:rsidRPr="00094072">
        <w:rPr>
          <w:rFonts w:ascii="Cambria" w:hAnsi="Cambria" w:cs="Helvetica"/>
          <w:color w:val="000000" w:themeColor="text1"/>
        </w:rPr>
        <w:t xml:space="preserve"> </w:t>
      </w:r>
    </w:p>
    <w:p w14:paraId="1306BD9A" w14:textId="1334ECDF" w:rsidR="00F047CA" w:rsidRPr="00E27AF7" w:rsidRDefault="00F047CA" w:rsidP="009E2F52">
      <w:pPr>
        <w:pStyle w:val="NormalWeb"/>
        <w:jc w:val="both"/>
        <w:rPr>
          <w:rFonts w:ascii="Cambria" w:hAnsi="Cambria"/>
          <w:color w:val="000000" w:themeColor="text1"/>
          <w:sz w:val="20"/>
          <w:szCs w:val="20"/>
        </w:rPr>
      </w:pPr>
      <w:r w:rsidRPr="00E27AF7">
        <w:rPr>
          <w:rFonts w:ascii="Cambria" w:hAnsi="Cambria" w:cs="Helvetica"/>
          <w:i/>
          <w:color w:val="000000" w:themeColor="text1"/>
          <w:sz w:val="20"/>
          <w:szCs w:val="20"/>
        </w:rPr>
        <w:t>Notes</w:t>
      </w:r>
      <w:r w:rsidRPr="00E27AF7">
        <w:rPr>
          <w:rFonts w:ascii="Cambria" w:hAnsi="Cambria" w:cs="Helvetica"/>
          <w:color w:val="000000" w:themeColor="text1"/>
          <w:sz w:val="20"/>
          <w:szCs w:val="20"/>
        </w:rPr>
        <w:t xml:space="preserve">: </w:t>
      </w:r>
      <w:r w:rsidR="00B546E6" w:rsidRPr="00E27AF7">
        <w:rPr>
          <w:rFonts w:ascii="Cambria" w:hAnsi="Cambria" w:cs="Helvetica"/>
          <w:color w:val="000000" w:themeColor="text1"/>
          <w:sz w:val="20"/>
          <w:szCs w:val="20"/>
        </w:rPr>
        <w:t xml:space="preserve">Response of monthly industrial production, consumer price index, USD/INR nominal exchange rate, </w:t>
      </w:r>
      <w:r w:rsidR="005D2E31" w:rsidRPr="00E27AF7">
        <w:rPr>
          <w:rFonts w:ascii="Cambria" w:hAnsi="Cambria" w:cs="Helvetica"/>
          <w:color w:val="000000" w:themeColor="text1"/>
          <w:sz w:val="20"/>
          <w:szCs w:val="20"/>
        </w:rPr>
        <w:t>ten-year</w:t>
      </w:r>
      <w:r w:rsidR="00B546E6" w:rsidRPr="00E27AF7">
        <w:rPr>
          <w:rFonts w:ascii="Cambria" w:hAnsi="Cambria" w:cs="Helvetica"/>
          <w:color w:val="000000" w:themeColor="text1"/>
          <w:sz w:val="20"/>
          <w:szCs w:val="20"/>
        </w:rPr>
        <w:t xml:space="preserve"> government bond rate, stock market index, and total reserves (excluding gold) </w:t>
      </w:r>
      <w:r w:rsidR="0047052F" w:rsidRPr="00E27AF7">
        <w:rPr>
          <w:rFonts w:ascii="Cambria" w:hAnsi="Cambria" w:cs="Helvetica"/>
          <w:color w:val="000000" w:themeColor="text1"/>
          <w:sz w:val="20"/>
          <w:szCs w:val="20"/>
        </w:rPr>
        <w:t xml:space="preserve">outstanding to </w:t>
      </w:r>
      <w:r w:rsidR="00B546E6" w:rsidRPr="00E27AF7">
        <w:rPr>
          <w:rFonts w:ascii="Cambria" w:hAnsi="Cambria" w:cs="Helvetica"/>
          <w:color w:val="000000" w:themeColor="text1"/>
          <w:sz w:val="20"/>
          <w:szCs w:val="20"/>
        </w:rPr>
        <w:t xml:space="preserve">a </w:t>
      </w:r>
      <w:r w:rsidR="0007654D" w:rsidRPr="00E27AF7">
        <w:rPr>
          <w:rFonts w:ascii="Cambria" w:hAnsi="Cambria" w:cs="Helvetica"/>
          <w:color w:val="000000" w:themeColor="text1"/>
          <w:sz w:val="20"/>
          <w:szCs w:val="20"/>
        </w:rPr>
        <w:t xml:space="preserve">one </w:t>
      </w:r>
      <w:r w:rsidR="00935402" w:rsidRPr="00E27AF7">
        <w:rPr>
          <w:rFonts w:ascii="Cambria" w:hAnsi="Cambria" w:cs="Helvetica"/>
          <w:color w:val="000000" w:themeColor="text1"/>
          <w:sz w:val="20"/>
          <w:szCs w:val="20"/>
        </w:rPr>
        <w:t>standard deviation</w:t>
      </w:r>
      <w:r w:rsidR="00B546E6" w:rsidRPr="00E27AF7">
        <w:rPr>
          <w:rFonts w:ascii="Cambria" w:hAnsi="Cambria" w:cs="Helvetica"/>
          <w:color w:val="000000" w:themeColor="text1"/>
          <w:sz w:val="20"/>
          <w:szCs w:val="20"/>
        </w:rPr>
        <w:t xml:space="preserve"> identified shock to oil supply. Shaded areas represent one standard deviation confidence intervals. Standard errors are heteroskedasticity and autocorrelation robust Newey West standard errors. The sources for data series are described in the text.  Solid Blue line plots the estimated IRF for full sample from April 1994 to December 2017. The dashed brown line plots the estimated IRF for post 2005 sample from January 2006 to December 2017.</w:t>
      </w:r>
      <w:r w:rsidRPr="00E27AF7">
        <w:rPr>
          <w:rFonts w:ascii="Cambria" w:hAnsi="Cambria" w:cs="Helvetica"/>
          <w:color w:val="000000" w:themeColor="text1"/>
          <w:sz w:val="20"/>
          <w:szCs w:val="20"/>
        </w:rPr>
        <w:t xml:space="preserve">  See text for details. </w:t>
      </w:r>
      <w:r w:rsidRPr="00E27AF7">
        <w:rPr>
          <w:rFonts w:ascii="Cambria" w:hAnsi="Cambria"/>
          <w:i/>
          <w:iCs/>
          <w:color w:val="000000" w:themeColor="text1"/>
          <w:sz w:val="20"/>
          <w:szCs w:val="20"/>
        </w:rPr>
        <w:t>Authors’ own calculations</w:t>
      </w:r>
      <w:r w:rsidRPr="00E27AF7">
        <w:rPr>
          <w:rFonts w:ascii="Cambria" w:hAnsi="Cambria"/>
          <w:color w:val="000000" w:themeColor="text1"/>
          <w:sz w:val="20"/>
          <w:szCs w:val="20"/>
        </w:rPr>
        <w:t>.</w:t>
      </w:r>
    </w:p>
    <w:p w14:paraId="04803E79" w14:textId="04A469AE" w:rsidR="00685CC3" w:rsidRPr="00094072"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themeColor="text1"/>
          <w:sz w:val="24"/>
          <w:szCs w:val="24"/>
        </w:rPr>
      </w:pPr>
    </w:p>
    <w:p w14:paraId="3276FC8C" w14:textId="77777777" w:rsidR="00F047CA" w:rsidRPr="00685CC3" w:rsidRDefault="00F047CA"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sz w:val="24"/>
          <w:szCs w:val="24"/>
        </w:rPr>
      </w:pPr>
    </w:p>
    <w:p w14:paraId="5BD61BBF" w14:textId="77777777" w:rsidR="00685CC3" w:rsidRPr="00685CC3" w:rsidRDefault="00685CC3" w:rsidP="009E2F5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spacing w:after="0" w:line="240" w:lineRule="auto"/>
        <w:jc w:val="both"/>
        <w:rPr>
          <w:rFonts w:ascii="Cambria" w:hAnsi="Cambria" w:cs="Helvetica"/>
          <w:color w:val="000000"/>
          <w:sz w:val="24"/>
          <w:szCs w:val="24"/>
        </w:rPr>
      </w:pPr>
      <w:r w:rsidRPr="00685CC3">
        <w:rPr>
          <w:rFonts w:ascii="Cambria" w:hAnsi="Cambria" w:cs="Helvetica"/>
          <w:color w:val="000000"/>
          <w:sz w:val="24"/>
          <w:szCs w:val="24"/>
        </w:rPr>
        <w:t xml:space="preserve">  </w:t>
      </w:r>
    </w:p>
    <w:p w14:paraId="57FE1C82" w14:textId="77777777" w:rsidR="00685CC3" w:rsidRPr="00685CC3" w:rsidRDefault="00685CC3" w:rsidP="009E2F52">
      <w:pPr>
        <w:pStyle w:val="NormalWeb"/>
        <w:jc w:val="both"/>
        <w:rPr>
          <w:rFonts w:ascii="Cambria" w:hAnsi="Cambria"/>
        </w:rPr>
      </w:pPr>
    </w:p>
    <w:sectPr w:rsidR="00685CC3" w:rsidRPr="00685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65A5" w14:textId="77777777" w:rsidR="003D5C86" w:rsidRDefault="003D5C86" w:rsidP="00BB297E">
      <w:pPr>
        <w:spacing w:after="0" w:line="240" w:lineRule="auto"/>
      </w:pPr>
      <w:r>
        <w:separator/>
      </w:r>
    </w:p>
  </w:endnote>
  <w:endnote w:type="continuationSeparator" w:id="0">
    <w:p w14:paraId="313AB115" w14:textId="77777777" w:rsidR="003D5C86" w:rsidRDefault="003D5C86" w:rsidP="00BB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538AA" w14:textId="77777777" w:rsidR="003D5C86" w:rsidRDefault="003D5C86" w:rsidP="00BB297E">
      <w:pPr>
        <w:spacing w:after="0" w:line="240" w:lineRule="auto"/>
      </w:pPr>
      <w:r>
        <w:separator/>
      </w:r>
    </w:p>
  </w:footnote>
  <w:footnote w:type="continuationSeparator" w:id="0">
    <w:p w14:paraId="0F4C97BC" w14:textId="77777777" w:rsidR="003D5C86" w:rsidRDefault="003D5C86" w:rsidP="00BB297E">
      <w:pPr>
        <w:spacing w:after="0" w:line="240" w:lineRule="auto"/>
      </w:pPr>
      <w:r>
        <w:continuationSeparator/>
      </w:r>
    </w:p>
  </w:footnote>
  <w:footnote w:id="1">
    <w:p w14:paraId="388DD11B" w14:textId="0D37EC2C" w:rsidR="00457654" w:rsidRDefault="00457654">
      <w:pPr>
        <w:pStyle w:val="FootnoteText"/>
      </w:pPr>
      <w:r>
        <w:rPr>
          <w:rStyle w:val="FootnoteReference"/>
        </w:rPr>
        <w:footnoteRef/>
      </w:r>
      <w:r>
        <w:t xml:space="preserve"> </w:t>
      </w:r>
      <w:r w:rsidRPr="005A53C5">
        <w:rPr>
          <w:rFonts w:ascii="Cambria" w:hAnsi="Cambria"/>
        </w:rPr>
        <w:t>See for example Shin (2014)</w:t>
      </w:r>
    </w:p>
  </w:footnote>
  <w:footnote w:id="2">
    <w:p w14:paraId="15B3464C" w14:textId="77777777" w:rsidR="00457654" w:rsidRDefault="00457654" w:rsidP="004130BD">
      <w:pPr>
        <w:pStyle w:val="FootnoteText"/>
      </w:pPr>
      <w:r>
        <w:rPr>
          <w:rStyle w:val="FootnoteReference"/>
        </w:rPr>
        <w:footnoteRef/>
      </w:r>
      <w:r>
        <w:t xml:space="preserve"> </w:t>
      </w:r>
      <w:r>
        <w:rPr>
          <w:rFonts w:ascii="Cambria" w:hAnsi="Cambria"/>
        </w:rPr>
        <w:t>They find that shocks to policy rate do transmit to the bank lending rates in India, albeit imperfectly. However, the predicted bank lending rates do not seem to drive aggregate demand in their estimation.</w:t>
      </w:r>
    </w:p>
  </w:footnote>
  <w:footnote w:id="3">
    <w:p w14:paraId="513D6B3C" w14:textId="01726450" w:rsidR="00457654" w:rsidRDefault="00457654">
      <w:pPr>
        <w:pStyle w:val="FootnoteText"/>
      </w:pPr>
      <w:r>
        <w:rPr>
          <w:rStyle w:val="FootnoteReference"/>
        </w:rPr>
        <w:footnoteRef/>
      </w:r>
      <w:r>
        <w:rPr>
          <w:rFonts w:ascii="Cambria" w:hAnsi="Cambria"/>
        </w:rPr>
        <w:t xml:space="preserve"> </w:t>
      </w:r>
      <w:r w:rsidRPr="00AF32BE">
        <w:rPr>
          <w:rFonts w:ascii="Cambria" w:hAnsi="Cambria"/>
        </w:rPr>
        <w:t>In terms of other interest rates and policy indicators, we also looked at the commercial bank lending rate. Results reported here are robust to including the series for the commercial bank lending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D326D"/>
    <w:multiLevelType w:val="hybridMultilevel"/>
    <w:tmpl w:val="942622E0"/>
    <w:lvl w:ilvl="0" w:tplc="2B769654">
      <w:start w:val="1"/>
      <w:numFmt w:val="upperLetter"/>
      <w:lvlText w:val="%1."/>
      <w:lvlJc w:val="left"/>
      <w:pPr>
        <w:ind w:left="720" w:hanging="360"/>
      </w:pPr>
      <w:rPr>
        <w:rFonts w:ascii="Cambria" w:hAnsi="Cambri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9F"/>
    <w:rsid w:val="000011C0"/>
    <w:rsid w:val="00003E99"/>
    <w:rsid w:val="00007A04"/>
    <w:rsid w:val="00014CFB"/>
    <w:rsid w:val="00015172"/>
    <w:rsid w:val="0003177B"/>
    <w:rsid w:val="00031F50"/>
    <w:rsid w:val="00033F5F"/>
    <w:rsid w:val="00036673"/>
    <w:rsid w:val="00037088"/>
    <w:rsid w:val="00044F0A"/>
    <w:rsid w:val="00051765"/>
    <w:rsid w:val="0006426F"/>
    <w:rsid w:val="00064CE4"/>
    <w:rsid w:val="000657A2"/>
    <w:rsid w:val="00071A4C"/>
    <w:rsid w:val="000745DD"/>
    <w:rsid w:val="00074B67"/>
    <w:rsid w:val="0007654D"/>
    <w:rsid w:val="0008149F"/>
    <w:rsid w:val="00082ECF"/>
    <w:rsid w:val="000841FB"/>
    <w:rsid w:val="00091AA0"/>
    <w:rsid w:val="00094072"/>
    <w:rsid w:val="0009472A"/>
    <w:rsid w:val="000B0278"/>
    <w:rsid w:val="000B1EAA"/>
    <w:rsid w:val="000B51B6"/>
    <w:rsid w:val="000C0A30"/>
    <w:rsid w:val="000C528C"/>
    <w:rsid w:val="000E6B2E"/>
    <w:rsid w:val="000F7533"/>
    <w:rsid w:val="000F772E"/>
    <w:rsid w:val="000F7CF2"/>
    <w:rsid w:val="00113033"/>
    <w:rsid w:val="00115978"/>
    <w:rsid w:val="00116011"/>
    <w:rsid w:val="00121146"/>
    <w:rsid w:val="00124BA2"/>
    <w:rsid w:val="00127C5C"/>
    <w:rsid w:val="001455AD"/>
    <w:rsid w:val="00154689"/>
    <w:rsid w:val="00160FD1"/>
    <w:rsid w:val="00162EE2"/>
    <w:rsid w:val="00166B17"/>
    <w:rsid w:val="00174C0D"/>
    <w:rsid w:val="00183455"/>
    <w:rsid w:val="001870EA"/>
    <w:rsid w:val="00190FF9"/>
    <w:rsid w:val="0019161C"/>
    <w:rsid w:val="001A267D"/>
    <w:rsid w:val="001A3718"/>
    <w:rsid w:val="001A60EE"/>
    <w:rsid w:val="001A7FFA"/>
    <w:rsid w:val="001C2785"/>
    <w:rsid w:val="001C5591"/>
    <w:rsid w:val="001C7CF1"/>
    <w:rsid w:val="001D3F45"/>
    <w:rsid w:val="001E3A56"/>
    <w:rsid w:val="001E5482"/>
    <w:rsid w:val="001E7725"/>
    <w:rsid w:val="001F3E68"/>
    <w:rsid w:val="001F6365"/>
    <w:rsid w:val="00200671"/>
    <w:rsid w:val="00206D95"/>
    <w:rsid w:val="00210EDF"/>
    <w:rsid w:val="002123E3"/>
    <w:rsid w:val="00212AC3"/>
    <w:rsid w:val="00213963"/>
    <w:rsid w:val="00213F93"/>
    <w:rsid w:val="0024291C"/>
    <w:rsid w:val="00261F86"/>
    <w:rsid w:val="002628B7"/>
    <w:rsid w:val="00262B3A"/>
    <w:rsid w:val="00263C78"/>
    <w:rsid w:val="00273028"/>
    <w:rsid w:val="00275249"/>
    <w:rsid w:val="00277000"/>
    <w:rsid w:val="00277904"/>
    <w:rsid w:val="00291168"/>
    <w:rsid w:val="002B223C"/>
    <w:rsid w:val="002B28A6"/>
    <w:rsid w:val="002B321C"/>
    <w:rsid w:val="002B35EE"/>
    <w:rsid w:val="002B5042"/>
    <w:rsid w:val="002C17CB"/>
    <w:rsid w:val="002C1D0A"/>
    <w:rsid w:val="002C6445"/>
    <w:rsid w:val="002C7DAA"/>
    <w:rsid w:val="002D086C"/>
    <w:rsid w:val="002D3B2E"/>
    <w:rsid w:val="002D72D6"/>
    <w:rsid w:val="002E7C77"/>
    <w:rsid w:val="002E7D72"/>
    <w:rsid w:val="002F543F"/>
    <w:rsid w:val="0030147B"/>
    <w:rsid w:val="00311D2E"/>
    <w:rsid w:val="003139B6"/>
    <w:rsid w:val="00317F79"/>
    <w:rsid w:val="00320503"/>
    <w:rsid w:val="0032236F"/>
    <w:rsid w:val="0032283D"/>
    <w:rsid w:val="003230E0"/>
    <w:rsid w:val="00327766"/>
    <w:rsid w:val="00327BFD"/>
    <w:rsid w:val="003315AC"/>
    <w:rsid w:val="003318C2"/>
    <w:rsid w:val="003363D8"/>
    <w:rsid w:val="00344A64"/>
    <w:rsid w:val="00344D4D"/>
    <w:rsid w:val="00346577"/>
    <w:rsid w:val="00346F00"/>
    <w:rsid w:val="0036680D"/>
    <w:rsid w:val="003716B4"/>
    <w:rsid w:val="00380320"/>
    <w:rsid w:val="00384F7C"/>
    <w:rsid w:val="00391696"/>
    <w:rsid w:val="00395369"/>
    <w:rsid w:val="003A331A"/>
    <w:rsid w:val="003A647C"/>
    <w:rsid w:val="003A6C72"/>
    <w:rsid w:val="003A6EFF"/>
    <w:rsid w:val="003B0DB5"/>
    <w:rsid w:val="003B138E"/>
    <w:rsid w:val="003B19D5"/>
    <w:rsid w:val="003B3AA4"/>
    <w:rsid w:val="003C7921"/>
    <w:rsid w:val="003D2017"/>
    <w:rsid w:val="003D3740"/>
    <w:rsid w:val="003D3773"/>
    <w:rsid w:val="003D5C86"/>
    <w:rsid w:val="003F0D3A"/>
    <w:rsid w:val="003F10C6"/>
    <w:rsid w:val="003F3CF2"/>
    <w:rsid w:val="00407D2D"/>
    <w:rsid w:val="004130BD"/>
    <w:rsid w:val="00414778"/>
    <w:rsid w:val="0041747E"/>
    <w:rsid w:val="0041754B"/>
    <w:rsid w:val="00430699"/>
    <w:rsid w:val="0043578B"/>
    <w:rsid w:val="004417DB"/>
    <w:rsid w:val="00443710"/>
    <w:rsid w:val="00450C70"/>
    <w:rsid w:val="00457654"/>
    <w:rsid w:val="00466C7C"/>
    <w:rsid w:val="0047052F"/>
    <w:rsid w:val="00471DE7"/>
    <w:rsid w:val="0047274C"/>
    <w:rsid w:val="00472815"/>
    <w:rsid w:val="00475FA7"/>
    <w:rsid w:val="00481262"/>
    <w:rsid w:val="00481DDC"/>
    <w:rsid w:val="00485CD6"/>
    <w:rsid w:val="00487CDD"/>
    <w:rsid w:val="004B1986"/>
    <w:rsid w:val="004C2782"/>
    <w:rsid w:val="004D0154"/>
    <w:rsid w:val="004D0183"/>
    <w:rsid w:val="004D025E"/>
    <w:rsid w:val="004E42F1"/>
    <w:rsid w:val="004F2608"/>
    <w:rsid w:val="004F2F18"/>
    <w:rsid w:val="004F4DF7"/>
    <w:rsid w:val="004F62A4"/>
    <w:rsid w:val="004F73F9"/>
    <w:rsid w:val="004F7F7A"/>
    <w:rsid w:val="005143D4"/>
    <w:rsid w:val="00516E4C"/>
    <w:rsid w:val="0052466A"/>
    <w:rsid w:val="0053396D"/>
    <w:rsid w:val="0053597F"/>
    <w:rsid w:val="00537652"/>
    <w:rsid w:val="00554B95"/>
    <w:rsid w:val="005558FC"/>
    <w:rsid w:val="00557AA9"/>
    <w:rsid w:val="005602CB"/>
    <w:rsid w:val="0056741A"/>
    <w:rsid w:val="00573EA9"/>
    <w:rsid w:val="00581D69"/>
    <w:rsid w:val="0058218B"/>
    <w:rsid w:val="0058416C"/>
    <w:rsid w:val="005856B0"/>
    <w:rsid w:val="00586C59"/>
    <w:rsid w:val="005A4472"/>
    <w:rsid w:val="005A53C5"/>
    <w:rsid w:val="005C0BA6"/>
    <w:rsid w:val="005D24B2"/>
    <w:rsid w:val="005D2E31"/>
    <w:rsid w:val="005E0233"/>
    <w:rsid w:val="006053E6"/>
    <w:rsid w:val="006129CE"/>
    <w:rsid w:val="00612EA8"/>
    <w:rsid w:val="00626B44"/>
    <w:rsid w:val="00632E3A"/>
    <w:rsid w:val="006477EF"/>
    <w:rsid w:val="00651261"/>
    <w:rsid w:val="00657570"/>
    <w:rsid w:val="0067034D"/>
    <w:rsid w:val="00670667"/>
    <w:rsid w:val="00673886"/>
    <w:rsid w:val="00673ED9"/>
    <w:rsid w:val="00675A33"/>
    <w:rsid w:val="006765AE"/>
    <w:rsid w:val="006776CC"/>
    <w:rsid w:val="00684965"/>
    <w:rsid w:val="00685CC3"/>
    <w:rsid w:val="006862DA"/>
    <w:rsid w:val="006A5D32"/>
    <w:rsid w:val="006A6832"/>
    <w:rsid w:val="006A6B69"/>
    <w:rsid w:val="006B028E"/>
    <w:rsid w:val="006C559F"/>
    <w:rsid w:val="006C5662"/>
    <w:rsid w:val="006C7B7F"/>
    <w:rsid w:val="006C7D83"/>
    <w:rsid w:val="006D4517"/>
    <w:rsid w:val="006D51F9"/>
    <w:rsid w:val="006E395C"/>
    <w:rsid w:val="006E452A"/>
    <w:rsid w:val="006E7ECA"/>
    <w:rsid w:val="006F764C"/>
    <w:rsid w:val="00703F59"/>
    <w:rsid w:val="0071002C"/>
    <w:rsid w:val="0071781D"/>
    <w:rsid w:val="007342F8"/>
    <w:rsid w:val="0073715E"/>
    <w:rsid w:val="0074480E"/>
    <w:rsid w:val="00747CDA"/>
    <w:rsid w:val="007612C4"/>
    <w:rsid w:val="00761B9D"/>
    <w:rsid w:val="0076414E"/>
    <w:rsid w:val="007659CB"/>
    <w:rsid w:val="00767A1D"/>
    <w:rsid w:val="00773CF4"/>
    <w:rsid w:val="0077421C"/>
    <w:rsid w:val="007751C2"/>
    <w:rsid w:val="00781EE4"/>
    <w:rsid w:val="00782DF7"/>
    <w:rsid w:val="007831DF"/>
    <w:rsid w:val="007963F8"/>
    <w:rsid w:val="007B2229"/>
    <w:rsid w:val="007B479D"/>
    <w:rsid w:val="007B77B8"/>
    <w:rsid w:val="007D32EF"/>
    <w:rsid w:val="007D6559"/>
    <w:rsid w:val="007E0B59"/>
    <w:rsid w:val="007E2A26"/>
    <w:rsid w:val="007E3F6C"/>
    <w:rsid w:val="007F4FF4"/>
    <w:rsid w:val="007F5C69"/>
    <w:rsid w:val="007F6399"/>
    <w:rsid w:val="00802587"/>
    <w:rsid w:val="00806DE2"/>
    <w:rsid w:val="008101A2"/>
    <w:rsid w:val="00815ABD"/>
    <w:rsid w:val="00815C0D"/>
    <w:rsid w:val="00822D53"/>
    <w:rsid w:val="00843F10"/>
    <w:rsid w:val="008445A7"/>
    <w:rsid w:val="00847DF6"/>
    <w:rsid w:val="00850BF5"/>
    <w:rsid w:val="00852CFC"/>
    <w:rsid w:val="00854D9C"/>
    <w:rsid w:val="008552C8"/>
    <w:rsid w:val="00860B25"/>
    <w:rsid w:val="00861A25"/>
    <w:rsid w:val="00873040"/>
    <w:rsid w:val="008779F4"/>
    <w:rsid w:val="00877E3F"/>
    <w:rsid w:val="00882493"/>
    <w:rsid w:val="00892441"/>
    <w:rsid w:val="0089589F"/>
    <w:rsid w:val="00895FC5"/>
    <w:rsid w:val="008A15EA"/>
    <w:rsid w:val="008A2184"/>
    <w:rsid w:val="008A4978"/>
    <w:rsid w:val="008B2A91"/>
    <w:rsid w:val="008B4BE3"/>
    <w:rsid w:val="008B654A"/>
    <w:rsid w:val="008B6D28"/>
    <w:rsid w:val="008B73E1"/>
    <w:rsid w:val="008C48A9"/>
    <w:rsid w:val="008C6E24"/>
    <w:rsid w:val="008D5305"/>
    <w:rsid w:val="008E2A78"/>
    <w:rsid w:val="008E3184"/>
    <w:rsid w:val="008E3BF1"/>
    <w:rsid w:val="008E5553"/>
    <w:rsid w:val="008E56FB"/>
    <w:rsid w:val="008F013D"/>
    <w:rsid w:val="00921F55"/>
    <w:rsid w:val="00923474"/>
    <w:rsid w:val="00925DA3"/>
    <w:rsid w:val="00927C28"/>
    <w:rsid w:val="009337B8"/>
    <w:rsid w:val="00935402"/>
    <w:rsid w:val="0094466A"/>
    <w:rsid w:val="00945BD6"/>
    <w:rsid w:val="00953197"/>
    <w:rsid w:val="00953F1A"/>
    <w:rsid w:val="00961753"/>
    <w:rsid w:val="00964AB0"/>
    <w:rsid w:val="00985882"/>
    <w:rsid w:val="00990B40"/>
    <w:rsid w:val="0099485E"/>
    <w:rsid w:val="00994DA3"/>
    <w:rsid w:val="00995B26"/>
    <w:rsid w:val="009965F6"/>
    <w:rsid w:val="00996C77"/>
    <w:rsid w:val="009A1234"/>
    <w:rsid w:val="009B3B0D"/>
    <w:rsid w:val="009B4C5A"/>
    <w:rsid w:val="009C492F"/>
    <w:rsid w:val="009C6279"/>
    <w:rsid w:val="009C6CD0"/>
    <w:rsid w:val="009D23F4"/>
    <w:rsid w:val="009E2F52"/>
    <w:rsid w:val="009E2F6F"/>
    <w:rsid w:val="009E3D9B"/>
    <w:rsid w:val="009F18C7"/>
    <w:rsid w:val="009F3F26"/>
    <w:rsid w:val="00A00AD7"/>
    <w:rsid w:val="00A02274"/>
    <w:rsid w:val="00A03ADD"/>
    <w:rsid w:val="00A0519F"/>
    <w:rsid w:val="00A0721D"/>
    <w:rsid w:val="00A10EDE"/>
    <w:rsid w:val="00A1440D"/>
    <w:rsid w:val="00A253FE"/>
    <w:rsid w:val="00A25AEB"/>
    <w:rsid w:val="00A341E4"/>
    <w:rsid w:val="00A35B4D"/>
    <w:rsid w:val="00A4465D"/>
    <w:rsid w:val="00A46606"/>
    <w:rsid w:val="00A467E0"/>
    <w:rsid w:val="00A50F0C"/>
    <w:rsid w:val="00A56EAF"/>
    <w:rsid w:val="00A642A3"/>
    <w:rsid w:val="00A671D0"/>
    <w:rsid w:val="00A71CD7"/>
    <w:rsid w:val="00A90482"/>
    <w:rsid w:val="00A90C02"/>
    <w:rsid w:val="00A9674F"/>
    <w:rsid w:val="00A96B8A"/>
    <w:rsid w:val="00AA0481"/>
    <w:rsid w:val="00AA1735"/>
    <w:rsid w:val="00AA1F2E"/>
    <w:rsid w:val="00AA2A08"/>
    <w:rsid w:val="00AA34BE"/>
    <w:rsid w:val="00AB27ED"/>
    <w:rsid w:val="00AC2894"/>
    <w:rsid w:val="00AC4113"/>
    <w:rsid w:val="00AC427A"/>
    <w:rsid w:val="00AC62A6"/>
    <w:rsid w:val="00AC6B7E"/>
    <w:rsid w:val="00AD282C"/>
    <w:rsid w:val="00AE0239"/>
    <w:rsid w:val="00AE07CC"/>
    <w:rsid w:val="00AE5F3C"/>
    <w:rsid w:val="00AF29B4"/>
    <w:rsid w:val="00AF32BE"/>
    <w:rsid w:val="00AF3C4E"/>
    <w:rsid w:val="00AF3CBD"/>
    <w:rsid w:val="00AF5E78"/>
    <w:rsid w:val="00B04C04"/>
    <w:rsid w:val="00B063C5"/>
    <w:rsid w:val="00B17F0A"/>
    <w:rsid w:val="00B24F2F"/>
    <w:rsid w:val="00B269C3"/>
    <w:rsid w:val="00B274CF"/>
    <w:rsid w:val="00B314CE"/>
    <w:rsid w:val="00B46AD1"/>
    <w:rsid w:val="00B534A3"/>
    <w:rsid w:val="00B546E6"/>
    <w:rsid w:val="00B55437"/>
    <w:rsid w:val="00B62B52"/>
    <w:rsid w:val="00B631AF"/>
    <w:rsid w:val="00B65732"/>
    <w:rsid w:val="00B700B0"/>
    <w:rsid w:val="00B73CED"/>
    <w:rsid w:val="00B91829"/>
    <w:rsid w:val="00B97FDE"/>
    <w:rsid w:val="00BA038F"/>
    <w:rsid w:val="00BA0494"/>
    <w:rsid w:val="00BA64B2"/>
    <w:rsid w:val="00BA77C6"/>
    <w:rsid w:val="00BB125F"/>
    <w:rsid w:val="00BB297E"/>
    <w:rsid w:val="00BB338D"/>
    <w:rsid w:val="00BC093E"/>
    <w:rsid w:val="00BC0A11"/>
    <w:rsid w:val="00BD0DF9"/>
    <w:rsid w:val="00BD1A9E"/>
    <w:rsid w:val="00BD511C"/>
    <w:rsid w:val="00BE4045"/>
    <w:rsid w:val="00C165D7"/>
    <w:rsid w:val="00C21A96"/>
    <w:rsid w:val="00C21AE3"/>
    <w:rsid w:val="00C312DF"/>
    <w:rsid w:val="00C35098"/>
    <w:rsid w:val="00C42289"/>
    <w:rsid w:val="00C4274A"/>
    <w:rsid w:val="00C54D3D"/>
    <w:rsid w:val="00C56740"/>
    <w:rsid w:val="00C57926"/>
    <w:rsid w:val="00C601F1"/>
    <w:rsid w:val="00C63280"/>
    <w:rsid w:val="00C65BCB"/>
    <w:rsid w:val="00C71F0B"/>
    <w:rsid w:val="00C744C9"/>
    <w:rsid w:val="00C74F86"/>
    <w:rsid w:val="00C86193"/>
    <w:rsid w:val="00C86E28"/>
    <w:rsid w:val="00CA23D0"/>
    <w:rsid w:val="00CB374E"/>
    <w:rsid w:val="00CB55FE"/>
    <w:rsid w:val="00CB585B"/>
    <w:rsid w:val="00CC3311"/>
    <w:rsid w:val="00CC7C6B"/>
    <w:rsid w:val="00CD48C4"/>
    <w:rsid w:val="00CE5CF3"/>
    <w:rsid w:val="00CE6327"/>
    <w:rsid w:val="00CF7D01"/>
    <w:rsid w:val="00D00B9B"/>
    <w:rsid w:val="00D010C9"/>
    <w:rsid w:val="00D03F54"/>
    <w:rsid w:val="00D10487"/>
    <w:rsid w:val="00D17AE4"/>
    <w:rsid w:val="00D22FC3"/>
    <w:rsid w:val="00D23912"/>
    <w:rsid w:val="00D321E3"/>
    <w:rsid w:val="00D40356"/>
    <w:rsid w:val="00D432FE"/>
    <w:rsid w:val="00D53424"/>
    <w:rsid w:val="00D55F89"/>
    <w:rsid w:val="00D70342"/>
    <w:rsid w:val="00D706EA"/>
    <w:rsid w:val="00D70926"/>
    <w:rsid w:val="00D83BF4"/>
    <w:rsid w:val="00D84AEA"/>
    <w:rsid w:val="00D85D24"/>
    <w:rsid w:val="00D86647"/>
    <w:rsid w:val="00D94CBB"/>
    <w:rsid w:val="00D954DB"/>
    <w:rsid w:val="00DA22F5"/>
    <w:rsid w:val="00DA3F1C"/>
    <w:rsid w:val="00DA473E"/>
    <w:rsid w:val="00DA683C"/>
    <w:rsid w:val="00DB3D57"/>
    <w:rsid w:val="00DB5F2F"/>
    <w:rsid w:val="00DB79BC"/>
    <w:rsid w:val="00DC7734"/>
    <w:rsid w:val="00DD0400"/>
    <w:rsid w:val="00DE2012"/>
    <w:rsid w:val="00E02A38"/>
    <w:rsid w:val="00E05E84"/>
    <w:rsid w:val="00E1298C"/>
    <w:rsid w:val="00E17440"/>
    <w:rsid w:val="00E26789"/>
    <w:rsid w:val="00E27AF7"/>
    <w:rsid w:val="00E30BE7"/>
    <w:rsid w:val="00E31C7E"/>
    <w:rsid w:val="00E37BFD"/>
    <w:rsid w:val="00E51454"/>
    <w:rsid w:val="00E51C8A"/>
    <w:rsid w:val="00E5798D"/>
    <w:rsid w:val="00E57F86"/>
    <w:rsid w:val="00E6427B"/>
    <w:rsid w:val="00E64F49"/>
    <w:rsid w:val="00E70CE1"/>
    <w:rsid w:val="00E733A0"/>
    <w:rsid w:val="00E859AB"/>
    <w:rsid w:val="00E91F55"/>
    <w:rsid w:val="00EA0724"/>
    <w:rsid w:val="00EA165D"/>
    <w:rsid w:val="00EA27FE"/>
    <w:rsid w:val="00EB49EE"/>
    <w:rsid w:val="00EB5116"/>
    <w:rsid w:val="00EC0373"/>
    <w:rsid w:val="00EC645F"/>
    <w:rsid w:val="00ED040C"/>
    <w:rsid w:val="00EE0AFD"/>
    <w:rsid w:val="00EE691A"/>
    <w:rsid w:val="00EE7824"/>
    <w:rsid w:val="00EF04CC"/>
    <w:rsid w:val="00EF0687"/>
    <w:rsid w:val="00EF069A"/>
    <w:rsid w:val="00EF6095"/>
    <w:rsid w:val="00F03C22"/>
    <w:rsid w:val="00F047CA"/>
    <w:rsid w:val="00F13D72"/>
    <w:rsid w:val="00F32BBB"/>
    <w:rsid w:val="00F355B9"/>
    <w:rsid w:val="00F4081E"/>
    <w:rsid w:val="00F43B9A"/>
    <w:rsid w:val="00F44D25"/>
    <w:rsid w:val="00F45D60"/>
    <w:rsid w:val="00F4748F"/>
    <w:rsid w:val="00F476DA"/>
    <w:rsid w:val="00F56D8D"/>
    <w:rsid w:val="00F60C40"/>
    <w:rsid w:val="00F64C7C"/>
    <w:rsid w:val="00F718F6"/>
    <w:rsid w:val="00F73093"/>
    <w:rsid w:val="00F73875"/>
    <w:rsid w:val="00F77E8E"/>
    <w:rsid w:val="00F92C83"/>
    <w:rsid w:val="00F93528"/>
    <w:rsid w:val="00F93568"/>
    <w:rsid w:val="00F941C8"/>
    <w:rsid w:val="00FA00EA"/>
    <w:rsid w:val="00FA12EE"/>
    <w:rsid w:val="00FC0B5F"/>
    <w:rsid w:val="00FD07E5"/>
    <w:rsid w:val="00FD0C07"/>
    <w:rsid w:val="00FD3794"/>
    <w:rsid w:val="00FD6380"/>
    <w:rsid w:val="00FD740F"/>
    <w:rsid w:val="00FE0DBC"/>
    <w:rsid w:val="00FE106C"/>
    <w:rsid w:val="00FE47C3"/>
    <w:rsid w:val="00FE650A"/>
    <w:rsid w:val="00FE6532"/>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E8F6"/>
  <w15:chartTrackingRefBased/>
  <w15:docId w15:val="{39C46B8E-E807-4E7D-A8C8-74172759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73E"/>
    <w:rPr>
      <w:color w:val="0563C1" w:themeColor="hyperlink"/>
      <w:u w:val="single"/>
    </w:rPr>
  </w:style>
  <w:style w:type="character" w:styleId="UnresolvedMention">
    <w:name w:val="Unresolved Mention"/>
    <w:basedOn w:val="DefaultParagraphFont"/>
    <w:uiPriority w:val="99"/>
    <w:semiHidden/>
    <w:unhideWhenUsed/>
    <w:rsid w:val="00DA473E"/>
    <w:rPr>
      <w:color w:val="605E5C"/>
      <w:shd w:val="clear" w:color="auto" w:fill="E1DFDD"/>
    </w:rPr>
  </w:style>
  <w:style w:type="paragraph" w:styleId="BodyText">
    <w:name w:val="Body Text"/>
    <w:basedOn w:val="Normal"/>
    <w:link w:val="BodyTextChar"/>
    <w:uiPriority w:val="1"/>
    <w:qFormat/>
    <w:rsid w:val="00DA473E"/>
    <w:pPr>
      <w:spacing w:before="7" w:after="0" w:line="415" w:lineRule="auto"/>
      <w:ind w:left="100" w:right="115" w:firstLine="360"/>
      <w:jc w:val="both"/>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DA473E"/>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A00AD7"/>
    <w:rPr>
      <w:color w:val="808080"/>
    </w:rPr>
  </w:style>
  <w:style w:type="paragraph" w:styleId="FootnoteText">
    <w:name w:val="footnote text"/>
    <w:basedOn w:val="Normal"/>
    <w:link w:val="FootnoteTextChar"/>
    <w:uiPriority w:val="99"/>
    <w:semiHidden/>
    <w:unhideWhenUsed/>
    <w:rsid w:val="00BB2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97E"/>
    <w:rPr>
      <w:sz w:val="20"/>
      <w:szCs w:val="20"/>
    </w:rPr>
  </w:style>
  <w:style w:type="character" w:styleId="FootnoteReference">
    <w:name w:val="footnote reference"/>
    <w:basedOn w:val="DefaultParagraphFont"/>
    <w:uiPriority w:val="99"/>
    <w:semiHidden/>
    <w:unhideWhenUsed/>
    <w:rsid w:val="00BB297E"/>
    <w:rPr>
      <w:vertAlign w:val="superscript"/>
    </w:rPr>
  </w:style>
  <w:style w:type="paragraph" w:styleId="NormalWeb">
    <w:name w:val="Normal (Web)"/>
    <w:basedOn w:val="Normal"/>
    <w:uiPriority w:val="99"/>
    <w:unhideWhenUsed/>
    <w:rsid w:val="00A341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1E4"/>
    <w:rPr>
      <w:i/>
      <w:iCs/>
    </w:rPr>
  </w:style>
  <w:style w:type="paragraph" w:customStyle="1" w:styleId="TableParagraph">
    <w:name w:val="Table Paragraph"/>
    <w:basedOn w:val="Normal"/>
    <w:uiPriority w:val="1"/>
    <w:qFormat/>
    <w:rsid w:val="00DD0400"/>
    <w:pPr>
      <w:widowControl w:val="0"/>
      <w:autoSpaceDE w:val="0"/>
      <w:autoSpaceDN w:val="0"/>
      <w:spacing w:after="0" w:line="251" w:lineRule="exact"/>
      <w:ind w:left="97"/>
      <w:jc w:val="center"/>
    </w:pPr>
    <w:rPr>
      <w:rFonts w:ascii="Times New Roman" w:eastAsia="Times New Roman" w:hAnsi="Times New Roman" w:cs="Times New Roman"/>
    </w:rPr>
  </w:style>
  <w:style w:type="table" w:styleId="TableGrid">
    <w:name w:val="Table Grid"/>
    <w:basedOn w:val="TableNormal"/>
    <w:uiPriority w:val="39"/>
    <w:rsid w:val="002B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985">
      <w:bodyDiv w:val="1"/>
      <w:marLeft w:val="0"/>
      <w:marRight w:val="0"/>
      <w:marTop w:val="0"/>
      <w:marBottom w:val="0"/>
      <w:divBdr>
        <w:top w:val="none" w:sz="0" w:space="0" w:color="auto"/>
        <w:left w:val="none" w:sz="0" w:space="0" w:color="auto"/>
        <w:bottom w:val="none" w:sz="0" w:space="0" w:color="auto"/>
        <w:right w:val="none" w:sz="0" w:space="0" w:color="auto"/>
      </w:divBdr>
      <w:divsChild>
        <w:div w:id="1049115525">
          <w:marLeft w:val="0"/>
          <w:marRight w:val="0"/>
          <w:marTop w:val="0"/>
          <w:marBottom w:val="0"/>
          <w:divBdr>
            <w:top w:val="none" w:sz="0" w:space="0" w:color="auto"/>
            <w:left w:val="none" w:sz="0" w:space="0" w:color="auto"/>
            <w:bottom w:val="none" w:sz="0" w:space="0" w:color="auto"/>
            <w:right w:val="none" w:sz="0" w:space="0" w:color="auto"/>
          </w:divBdr>
          <w:divsChild>
            <w:div w:id="278805943">
              <w:marLeft w:val="0"/>
              <w:marRight w:val="0"/>
              <w:marTop w:val="0"/>
              <w:marBottom w:val="0"/>
              <w:divBdr>
                <w:top w:val="none" w:sz="0" w:space="0" w:color="auto"/>
                <w:left w:val="none" w:sz="0" w:space="0" w:color="auto"/>
                <w:bottom w:val="none" w:sz="0" w:space="0" w:color="auto"/>
                <w:right w:val="none" w:sz="0" w:space="0" w:color="auto"/>
              </w:divBdr>
              <w:divsChild>
                <w:div w:id="6900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2">
      <w:bodyDiv w:val="1"/>
      <w:marLeft w:val="0"/>
      <w:marRight w:val="0"/>
      <w:marTop w:val="0"/>
      <w:marBottom w:val="0"/>
      <w:divBdr>
        <w:top w:val="none" w:sz="0" w:space="0" w:color="auto"/>
        <w:left w:val="none" w:sz="0" w:space="0" w:color="auto"/>
        <w:bottom w:val="none" w:sz="0" w:space="0" w:color="auto"/>
        <w:right w:val="none" w:sz="0" w:space="0" w:color="auto"/>
      </w:divBdr>
      <w:divsChild>
        <w:div w:id="919949835">
          <w:marLeft w:val="0"/>
          <w:marRight w:val="0"/>
          <w:marTop w:val="0"/>
          <w:marBottom w:val="0"/>
          <w:divBdr>
            <w:top w:val="none" w:sz="0" w:space="0" w:color="auto"/>
            <w:left w:val="none" w:sz="0" w:space="0" w:color="auto"/>
            <w:bottom w:val="none" w:sz="0" w:space="0" w:color="auto"/>
            <w:right w:val="none" w:sz="0" w:space="0" w:color="auto"/>
          </w:divBdr>
          <w:divsChild>
            <w:div w:id="1544292314">
              <w:marLeft w:val="0"/>
              <w:marRight w:val="0"/>
              <w:marTop w:val="0"/>
              <w:marBottom w:val="0"/>
              <w:divBdr>
                <w:top w:val="none" w:sz="0" w:space="0" w:color="auto"/>
                <w:left w:val="none" w:sz="0" w:space="0" w:color="auto"/>
                <w:bottom w:val="none" w:sz="0" w:space="0" w:color="auto"/>
                <w:right w:val="none" w:sz="0" w:space="0" w:color="auto"/>
              </w:divBdr>
              <w:divsChild>
                <w:div w:id="1478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7319">
      <w:bodyDiv w:val="1"/>
      <w:marLeft w:val="0"/>
      <w:marRight w:val="0"/>
      <w:marTop w:val="0"/>
      <w:marBottom w:val="0"/>
      <w:divBdr>
        <w:top w:val="none" w:sz="0" w:space="0" w:color="auto"/>
        <w:left w:val="none" w:sz="0" w:space="0" w:color="auto"/>
        <w:bottom w:val="none" w:sz="0" w:space="0" w:color="auto"/>
        <w:right w:val="none" w:sz="0" w:space="0" w:color="auto"/>
      </w:divBdr>
      <w:divsChild>
        <w:div w:id="1843470719">
          <w:marLeft w:val="0"/>
          <w:marRight w:val="0"/>
          <w:marTop w:val="0"/>
          <w:marBottom w:val="0"/>
          <w:divBdr>
            <w:top w:val="none" w:sz="0" w:space="0" w:color="auto"/>
            <w:left w:val="none" w:sz="0" w:space="0" w:color="auto"/>
            <w:bottom w:val="none" w:sz="0" w:space="0" w:color="auto"/>
            <w:right w:val="none" w:sz="0" w:space="0" w:color="auto"/>
          </w:divBdr>
          <w:divsChild>
            <w:div w:id="2084983643">
              <w:marLeft w:val="0"/>
              <w:marRight w:val="0"/>
              <w:marTop w:val="0"/>
              <w:marBottom w:val="0"/>
              <w:divBdr>
                <w:top w:val="none" w:sz="0" w:space="0" w:color="auto"/>
                <w:left w:val="none" w:sz="0" w:space="0" w:color="auto"/>
                <w:bottom w:val="none" w:sz="0" w:space="0" w:color="auto"/>
                <w:right w:val="none" w:sz="0" w:space="0" w:color="auto"/>
              </w:divBdr>
              <w:divsChild>
                <w:div w:id="16194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293">
      <w:bodyDiv w:val="1"/>
      <w:marLeft w:val="0"/>
      <w:marRight w:val="0"/>
      <w:marTop w:val="0"/>
      <w:marBottom w:val="0"/>
      <w:divBdr>
        <w:top w:val="none" w:sz="0" w:space="0" w:color="auto"/>
        <w:left w:val="none" w:sz="0" w:space="0" w:color="auto"/>
        <w:bottom w:val="none" w:sz="0" w:space="0" w:color="auto"/>
        <w:right w:val="none" w:sz="0" w:space="0" w:color="auto"/>
      </w:divBdr>
      <w:divsChild>
        <w:div w:id="1258830035">
          <w:marLeft w:val="0"/>
          <w:marRight w:val="0"/>
          <w:marTop w:val="0"/>
          <w:marBottom w:val="0"/>
          <w:divBdr>
            <w:top w:val="none" w:sz="0" w:space="0" w:color="auto"/>
            <w:left w:val="none" w:sz="0" w:space="0" w:color="auto"/>
            <w:bottom w:val="none" w:sz="0" w:space="0" w:color="auto"/>
            <w:right w:val="none" w:sz="0" w:space="0" w:color="auto"/>
          </w:divBdr>
          <w:divsChild>
            <w:div w:id="1391229932">
              <w:marLeft w:val="0"/>
              <w:marRight w:val="0"/>
              <w:marTop w:val="0"/>
              <w:marBottom w:val="0"/>
              <w:divBdr>
                <w:top w:val="none" w:sz="0" w:space="0" w:color="auto"/>
                <w:left w:val="none" w:sz="0" w:space="0" w:color="auto"/>
                <w:bottom w:val="none" w:sz="0" w:space="0" w:color="auto"/>
                <w:right w:val="none" w:sz="0" w:space="0" w:color="auto"/>
              </w:divBdr>
              <w:divsChild>
                <w:div w:id="916984111">
                  <w:marLeft w:val="0"/>
                  <w:marRight w:val="0"/>
                  <w:marTop w:val="0"/>
                  <w:marBottom w:val="0"/>
                  <w:divBdr>
                    <w:top w:val="none" w:sz="0" w:space="0" w:color="auto"/>
                    <w:left w:val="none" w:sz="0" w:space="0" w:color="auto"/>
                    <w:bottom w:val="none" w:sz="0" w:space="0" w:color="auto"/>
                    <w:right w:val="none" w:sz="0" w:space="0" w:color="auto"/>
                  </w:divBdr>
                  <w:divsChild>
                    <w:div w:id="12337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8452">
      <w:bodyDiv w:val="1"/>
      <w:marLeft w:val="0"/>
      <w:marRight w:val="0"/>
      <w:marTop w:val="0"/>
      <w:marBottom w:val="0"/>
      <w:divBdr>
        <w:top w:val="none" w:sz="0" w:space="0" w:color="auto"/>
        <w:left w:val="none" w:sz="0" w:space="0" w:color="auto"/>
        <w:bottom w:val="none" w:sz="0" w:space="0" w:color="auto"/>
        <w:right w:val="none" w:sz="0" w:space="0" w:color="auto"/>
      </w:divBdr>
      <w:divsChild>
        <w:div w:id="1301228487">
          <w:marLeft w:val="0"/>
          <w:marRight w:val="0"/>
          <w:marTop w:val="0"/>
          <w:marBottom w:val="0"/>
          <w:divBdr>
            <w:top w:val="none" w:sz="0" w:space="0" w:color="auto"/>
            <w:left w:val="none" w:sz="0" w:space="0" w:color="auto"/>
            <w:bottom w:val="none" w:sz="0" w:space="0" w:color="auto"/>
            <w:right w:val="none" w:sz="0" w:space="0" w:color="auto"/>
          </w:divBdr>
          <w:divsChild>
            <w:div w:id="516163887">
              <w:marLeft w:val="0"/>
              <w:marRight w:val="0"/>
              <w:marTop w:val="0"/>
              <w:marBottom w:val="0"/>
              <w:divBdr>
                <w:top w:val="none" w:sz="0" w:space="0" w:color="auto"/>
                <w:left w:val="none" w:sz="0" w:space="0" w:color="auto"/>
                <w:bottom w:val="none" w:sz="0" w:space="0" w:color="auto"/>
                <w:right w:val="none" w:sz="0" w:space="0" w:color="auto"/>
              </w:divBdr>
              <w:divsChild>
                <w:div w:id="9880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6461">
      <w:bodyDiv w:val="1"/>
      <w:marLeft w:val="0"/>
      <w:marRight w:val="0"/>
      <w:marTop w:val="0"/>
      <w:marBottom w:val="0"/>
      <w:divBdr>
        <w:top w:val="none" w:sz="0" w:space="0" w:color="auto"/>
        <w:left w:val="none" w:sz="0" w:space="0" w:color="auto"/>
        <w:bottom w:val="none" w:sz="0" w:space="0" w:color="auto"/>
        <w:right w:val="none" w:sz="0" w:space="0" w:color="auto"/>
      </w:divBdr>
      <w:divsChild>
        <w:div w:id="261963067">
          <w:marLeft w:val="0"/>
          <w:marRight w:val="0"/>
          <w:marTop w:val="0"/>
          <w:marBottom w:val="0"/>
          <w:divBdr>
            <w:top w:val="none" w:sz="0" w:space="0" w:color="auto"/>
            <w:left w:val="none" w:sz="0" w:space="0" w:color="auto"/>
            <w:bottom w:val="none" w:sz="0" w:space="0" w:color="auto"/>
            <w:right w:val="none" w:sz="0" w:space="0" w:color="auto"/>
          </w:divBdr>
          <w:divsChild>
            <w:div w:id="188689815">
              <w:marLeft w:val="0"/>
              <w:marRight w:val="0"/>
              <w:marTop w:val="0"/>
              <w:marBottom w:val="0"/>
              <w:divBdr>
                <w:top w:val="none" w:sz="0" w:space="0" w:color="auto"/>
                <w:left w:val="none" w:sz="0" w:space="0" w:color="auto"/>
                <w:bottom w:val="none" w:sz="0" w:space="0" w:color="auto"/>
                <w:right w:val="none" w:sz="0" w:space="0" w:color="auto"/>
              </w:divBdr>
              <w:divsChild>
                <w:div w:id="590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6929">
      <w:bodyDiv w:val="1"/>
      <w:marLeft w:val="0"/>
      <w:marRight w:val="0"/>
      <w:marTop w:val="0"/>
      <w:marBottom w:val="0"/>
      <w:divBdr>
        <w:top w:val="none" w:sz="0" w:space="0" w:color="auto"/>
        <w:left w:val="none" w:sz="0" w:space="0" w:color="auto"/>
        <w:bottom w:val="none" w:sz="0" w:space="0" w:color="auto"/>
        <w:right w:val="none" w:sz="0" w:space="0" w:color="auto"/>
      </w:divBdr>
      <w:divsChild>
        <w:div w:id="1467357389">
          <w:marLeft w:val="0"/>
          <w:marRight w:val="0"/>
          <w:marTop w:val="0"/>
          <w:marBottom w:val="0"/>
          <w:divBdr>
            <w:top w:val="none" w:sz="0" w:space="0" w:color="auto"/>
            <w:left w:val="none" w:sz="0" w:space="0" w:color="auto"/>
            <w:bottom w:val="none" w:sz="0" w:space="0" w:color="auto"/>
            <w:right w:val="none" w:sz="0" w:space="0" w:color="auto"/>
          </w:divBdr>
          <w:divsChild>
            <w:div w:id="1713338766">
              <w:marLeft w:val="0"/>
              <w:marRight w:val="0"/>
              <w:marTop w:val="0"/>
              <w:marBottom w:val="0"/>
              <w:divBdr>
                <w:top w:val="none" w:sz="0" w:space="0" w:color="auto"/>
                <w:left w:val="none" w:sz="0" w:space="0" w:color="auto"/>
                <w:bottom w:val="none" w:sz="0" w:space="0" w:color="auto"/>
                <w:right w:val="none" w:sz="0" w:space="0" w:color="auto"/>
              </w:divBdr>
              <w:divsChild>
                <w:div w:id="18169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8108">
      <w:bodyDiv w:val="1"/>
      <w:marLeft w:val="0"/>
      <w:marRight w:val="0"/>
      <w:marTop w:val="0"/>
      <w:marBottom w:val="0"/>
      <w:divBdr>
        <w:top w:val="none" w:sz="0" w:space="0" w:color="auto"/>
        <w:left w:val="none" w:sz="0" w:space="0" w:color="auto"/>
        <w:bottom w:val="none" w:sz="0" w:space="0" w:color="auto"/>
        <w:right w:val="none" w:sz="0" w:space="0" w:color="auto"/>
      </w:divBdr>
      <w:divsChild>
        <w:div w:id="1089890135">
          <w:marLeft w:val="0"/>
          <w:marRight w:val="0"/>
          <w:marTop w:val="0"/>
          <w:marBottom w:val="0"/>
          <w:divBdr>
            <w:top w:val="none" w:sz="0" w:space="0" w:color="auto"/>
            <w:left w:val="none" w:sz="0" w:space="0" w:color="auto"/>
            <w:bottom w:val="none" w:sz="0" w:space="0" w:color="auto"/>
            <w:right w:val="none" w:sz="0" w:space="0" w:color="auto"/>
          </w:divBdr>
          <w:divsChild>
            <w:div w:id="419839572">
              <w:marLeft w:val="0"/>
              <w:marRight w:val="0"/>
              <w:marTop w:val="0"/>
              <w:marBottom w:val="0"/>
              <w:divBdr>
                <w:top w:val="none" w:sz="0" w:space="0" w:color="auto"/>
                <w:left w:val="none" w:sz="0" w:space="0" w:color="auto"/>
                <w:bottom w:val="none" w:sz="0" w:space="0" w:color="auto"/>
                <w:right w:val="none" w:sz="0" w:space="0" w:color="auto"/>
              </w:divBdr>
              <w:divsChild>
                <w:div w:id="964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2304">
      <w:bodyDiv w:val="1"/>
      <w:marLeft w:val="0"/>
      <w:marRight w:val="0"/>
      <w:marTop w:val="0"/>
      <w:marBottom w:val="0"/>
      <w:divBdr>
        <w:top w:val="none" w:sz="0" w:space="0" w:color="auto"/>
        <w:left w:val="none" w:sz="0" w:space="0" w:color="auto"/>
        <w:bottom w:val="none" w:sz="0" w:space="0" w:color="auto"/>
        <w:right w:val="none" w:sz="0" w:space="0" w:color="auto"/>
      </w:divBdr>
      <w:divsChild>
        <w:div w:id="105975105">
          <w:marLeft w:val="0"/>
          <w:marRight w:val="0"/>
          <w:marTop w:val="0"/>
          <w:marBottom w:val="0"/>
          <w:divBdr>
            <w:top w:val="none" w:sz="0" w:space="0" w:color="auto"/>
            <w:left w:val="none" w:sz="0" w:space="0" w:color="auto"/>
            <w:bottom w:val="none" w:sz="0" w:space="0" w:color="auto"/>
            <w:right w:val="none" w:sz="0" w:space="0" w:color="auto"/>
          </w:divBdr>
          <w:divsChild>
            <w:div w:id="446706361">
              <w:marLeft w:val="0"/>
              <w:marRight w:val="0"/>
              <w:marTop w:val="0"/>
              <w:marBottom w:val="0"/>
              <w:divBdr>
                <w:top w:val="none" w:sz="0" w:space="0" w:color="auto"/>
                <w:left w:val="none" w:sz="0" w:space="0" w:color="auto"/>
                <w:bottom w:val="none" w:sz="0" w:space="0" w:color="auto"/>
                <w:right w:val="none" w:sz="0" w:space="0" w:color="auto"/>
              </w:divBdr>
              <w:divsChild>
                <w:div w:id="13515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6281">
      <w:bodyDiv w:val="1"/>
      <w:marLeft w:val="0"/>
      <w:marRight w:val="0"/>
      <w:marTop w:val="0"/>
      <w:marBottom w:val="0"/>
      <w:divBdr>
        <w:top w:val="none" w:sz="0" w:space="0" w:color="auto"/>
        <w:left w:val="none" w:sz="0" w:space="0" w:color="auto"/>
        <w:bottom w:val="none" w:sz="0" w:space="0" w:color="auto"/>
        <w:right w:val="none" w:sz="0" w:space="0" w:color="auto"/>
      </w:divBdr>
      <w:divsChild>
        <w:div w:id="707874955">
          <w:marLeft w:val="0"/>
          <w:marRight w:val="0"/>
          <w:marTop w:val="0"/>
          <w:marBottom w:val="0"/>
          <w:divBdr>
            <w:top w:val="none" w:sz="0" w:space="0" w:color="auto"/>
            <w:left w:val="none" w:sz="0" w:space="0" w:color="auto"/>
            <w:bottom w:val="none" w:sz="0" w:space="0" w:color="auto"/>
            <w:right w:val="none" w:sz="0" w:space="0" w:color="auto"/>
          </w:divBdr>
          <w:divsChild>
            <w:div w:id="2067876970">
              <w:marLeft w:val="0"/>
              <w:marRight w:val="0"/>
              <w:marTop w:val="0"/>
              <w:marBottom w:val="0"/>
              <w:divBdr>
                <w:top w:val="none" w:sz="0" w:space="0" w:color="auto"/>
                <w:left w:val="none" w:sz="0" w:space="0" w:color="auto"/>
                <w:bottom w:val="none" w:sz="0" w:space="0" w:color="auto"/>
                <w:right w:val="none" w:sz="0" w:space="0" w:color="auto"/>
              </w:divBdr>
              <w:divsChild>
                <w:div w:id="532302656">
                  <w:marLeft w:val="0"/>
                  <w:marRight w:val="0"/>
                  <w:marTop w:val="0"/>
                  <w:marBottom w:val="0"/>
                  <w:divBdr>
                    <w:top w:val="none" w:sz="0" w:space="0" w:color="auto"/>
                    <w:left w:val="none" w:sz="0" w:space="0" w:color="auto"/>
                    <w:bottom w:val="none" w:sz="0" w:space="0" w:color="auto"/>
                    <w:right w:val="none" w:sz="0" w:space="0" w:color="auto"/>
                  </w:divBdr>
                  <w:divsChild>
                    <w:div w:id="13935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7318">
      <w:bodyDiv w:val="1"/>
      <w:marLeft w:val="0"/>
      <w:marRight w:val="0"/>
      <w:marTop w:val="0"/>
      <w:marBottom w:val="0"/>
      <w:divBdr>
        <w:top w:val="none" w:sz="0" w:space="0" w:color="auto"/>
        <w:left w:val="none" w:sz="0" w:space="0" w:color="auto"/>
        <w:bottom w:val="none" w:sz="0" w:space="0" w:color="auto"/>
        <w:right w:val="none" w:sz="0" w:space="0" w:color="auto"/>
      </w:divBdr>
      <w:divsChild>
        <w:div w:id="2021465281">
          <w:marLeft w:val="0"/>
          <w:marRight w:val="0"/>
          <w:marTop w:val="0"/>
          <w:marBottom w:val="0"/>
          <w:divBdr>
            <w:top w:val="none" w:sz="0" w:space="0" w:color="auto"/>
            <w:left w:val="none" w:sz="0" w:space="0" w:color="auto"/>
            <w:bottom w:val="none" w:sz="0" w:space="0" w:color="auto"/>
            <w:right w:val="none" w:sz="0" w:space="0" w:color="auto"/>
          </w:divBdr>
          <w:divsChild>
            <w:div w:id="815026845">
              <w:marLeft w:val="0"/>
              <w:marRight w:val="0"/>
              <w:marTop w:val="0"/>
              <w:marBottom w:val="0"/>
              <w:divBdr>
                <w:top w:val="none" w:sz="0" w:space="0" w:color="auto"/>
                <w:left w:val="none" w:sz="0" w:space="0" w:color="auto"/>
                <w:bottom w:val="none" w:sz="0" w:space="0" w:color="auto"/>
                <w:right w:val="none" w:sz="0" w:space="0" w:color="auto"/>
              </w:divBdr>
              <w:divsChild>
                <w:div w:id="17962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0765">
      <w:bodyDiv w:val="1"/>
      <w:marLeft w:val="0"/>
      <w:marRight w:val="0"/>
      <w:marTop w:val="0"/>
      <w:marBottom w:val="0"/>
      <w:divBdr>
        <w:top w:val="none" w:sz="0" w:space="0" w:color="auto"/>
        <w:left w:val="none" w:sz="0" w:space="0" w:color="auto"/>
        <w:bottom w:val="none" w:sz="0" w:space="0" w:color="auto"/>
        <w:right w:val="none" w:sz="0" w:space="0" w:color="auto"/>
      </w:divBdr>
      <w:divsChild>
        <w:div w:id="1806047071">
          <w:marLeft w:val="0"/>
          <w:marRight w:val="0"/>
          <w:marTop w:val="0"/>
          <w:marBottom w:val="0"/>
          <w:divBdr>
            <w:top w:val="none" w:sz="0" w:space="0" w:color="auto"/>
            <w:left w:val="none" w:sz="0" w:space="0" w:color="auto"/>
            <w:bottom w:val="none" w:sz="0" w:space="0" w:color="auto"/>
            <w:right w:val="none" w:sz="0" w:space="0" w:color="auto"/>
          </w:divBdr>
          <w:divsChild>
            <w:div w:id="1952324706">
              <w:marLeft w:val="0"/>
              <w:marRight w:val="0"/>
              <w:marTop w:val="0"/>
              <w:marBottom w:val="0"/>
              <w:divBdr>
                <w:top w:val="none" w:sz="0" w:space="0" w:color="auto"/>
                <w:left w:val="none" w:sz="0" w:space="0" w:color="auto"/>
                <w:bottom w:val="none" w:sz="0" w:space="0" w:color="auto"/>
                <w:right w:val="none" w:sz="0" w:space="0" w:color="auto"/>
              </w:divBdr>
              <w:divsChild>
                <w:div w:id="13932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33351">
      <w:bodyDiv w:val="1"/>
      <w:marLeft w:val="0"/>
      <w:marRight w:val="0"/>
      <w:marTop w:val="0"/>
      <w:marBottom w:val="0"/>
      <w:divBdr>
        <w:top w:val="none" w:sz="0" w:space="0" w:color="auto"/>
        <w:left w:val="none" w:sz="0" w:space="0" w:color="auto"/>
        <w:bottom w:val="none" w:sz="0" w:space="0" w:color="auto"/>
        <w:right w:val="none" w:sz="0" w:space="0" w:color="auto"/>
      </w:divBdr>
      <w:divsChild>
        <w:div w:id="1892811537">
          <w:marLeft w:val="0"/>
          <w:marRight w:val="0"/>
          <w:marTop w:val="0"/>
          <w:marBottom w:val="0"/>
          <w:divBdr>
            <w:top w:val="none" w:sz="0" w:space="0" w:color="auto"/>
            <w:left w:val="none" w:sz="0" w:space="0" w:color="auto"/>
            <w:bottom w:val="none" w:sz="0" w:space="0" w:color="auto"/>
            <w:right w:val="none" w:sz="0" w:space="0" w:color="auto"/>
          </w:divBdr>
          <w:divsChild>
            <w:div w:id="1971400583">
              <w:marLeft w:val="0"/>
              <w:marRight w:val="0"/>
              <w:marTop w:val="0"/>
              <w:marBottom w:val="0"/>
              <w:divBdr>
                <w:top w:val="none" w:sz="0" w:space="0" w:color="auto"/>
                <w:left w:val="none" w:sz="0" w:space="0" w:color="auto"/>
                <w:bottom w:val="none" w:sz="0" w:space="0" w:color="auto"/>
                <w:right w:val="none" w:sz="0" w:space="0" w:color="auto"/>
              </w:divBdr>
              <w:divsChild>
                <w:div w:id="9550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3906">
      <w:bodyDiv w:val="1"/>
      <w:marLeft w:val="0"/>
      <w:marRight w:val="0"/>
      <w:marTop w:val="0"/>
      <w:marBottom w:val="0"/>
      <w:divBdr>
        <w:top w:val="none" w:sz="0" w:space="0" w:color="auto"/>
        <w:left w:val="none" w:sz="0" w:space="0" w:color="auto"/>
        <w:bottom w:val="none" w:sz="0" w:space="0" w:color="auto"/>
        <w:right w:val="none" w:sz="0" w:space="0" w:color="auto"/>
      </w:divBdr>
      <w:divsChild>
        <w:div w:id="498348670">
          <w:marLeft w:val="0"/>
          <w:marRight w:val="0"/>
          <w:marTop w:val="0"/>
          <w:marBottom w:val="0"/>
          <w:divBdr>
            <w:top w:val="none" w:sz="0" w:space="0" w:color="auto"/>
            <w:left w:val="none" w:sz="0" w:space="0" w:color="auto"/>
            <w:bottom w:val="none" w:sz="0" w:space="0" w:color="auto"/>
            <w:right w:val="none" w:sz="0" w:space="0" w:color="auto"/>
          </w:divBdr>
          <w:divsChild>
            <w:div w:id="1707178951">
              <w:marLeft w:val="0"/>
              <w:marRight w:val="0"/>
              <w:marTop w:val="0"/>
              <w:marBottom w:val="0"/>
              <w:divBdr>
                <w:top w:val="none" w:sz="0" w:space="0" w:color="auto"/>
                <w:left w:val="none" w:sz="0" w:space="0" w:color="auto"/>
                <w:bottom w:val="none" w:sz="0" w:space="0" w:color="auto"/>
                <w:right w:val="none" w:sz="0" w:space="0" w:color="auto"/>
              </w:divBdr>
              <w:divsChild>
                <w:div w:id="1528592722">
                  <w:marLeft w:val="0"/>
                  <w:marRight w:val="0"/>
                  <w:marTop w:val="0"/>
                  <w:marBottom w:val="0"/>
                  <w:divBdr>
                    <w:top w:val="none" w:sz="0" w:space="0" w:color="auto"/>
                    <w:left w:val="none" w:sz="0" w:space="0" w:color="auto"/>
                    <w:bottom w:val="none" w:sz="0" w:space="0" w:color="auto"/>
                    <w:right w:val="none" w:sz="0" w:space="0" w:color="auto"/>
                  </w:divBdr>
                  <w:divsChild>
                    <w:div w:id="2091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40039">
      <w:bodyDiv w:val="1"/>
      <w:marLeft w:val="0"/>
      <w:marRight w:val="0"/>
      <w:marTop w:val="0"/>
      <w:marBottom w:val="0"/>
      <w:divBdr>
        <w:top w:val="none" w:sz="0" w:space="0" w:color="auto"/>
        <w:left w:val="none" w:sz="0" w:space="0" w:color="auto"/>
        <w:bottom w:val="none" w:sz="0" w:space="0" w:color="auto"/>
        <w:right w:val="none" w:sz="0" w:space="0" w:color="auto"/>
      </w:divBdr>
      <w:divsChild>
        <w:div w:id="191965077">
          <w:marLeft w:val="0"/>
          <w:marRight w:val="0"/>
          <w:marTop w:val="0"/>
          <w:marBottom w:val="0"/>
          <w:divBdr>
            <w:top w:val="none" w:sz="0" w:space="0" w:color="auto"/>
            <w:left w:val="none" w:sz="0" w:space="0" w:color="auto"/>
            <w:bottom w:val="none" w:sz="0" w:space="0" w:color="auto"/>
            <w:right w:val="none" w:sz="0" w:space="0" w:color="auto"/>
          </w:divBdr>
          <w:divsChild>
            <w:div w:id="426780081">
              <w:marLeft w:val="0"/>
              <w:marRight w:val="0"/>
              <w:marTop w:val="0"/>
              <w:marBottom w:val="0"/>
              <w:divBdr>
                <w:top w:val="none" w:sz="0" w:space="0" w:color="auto"/>
                <w:left w:val="none" w:sz="0" w:space="0" w:color="auto"/>
                <w:bottom w:val="none" w:sz="0" w:space="0" w:color="auto"/>
                <w:right w:val="none" w:sz="0" w:space="0" w:color="auto"/>
              </w:divBdr>
              <w:divsChild>
                <w:div w:id="674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5759">
      <w:bodyDiv w:val="1"/>
      <w:marLeft w:val="0"/>
      <w:marRight w:val="0"/>
      <w:marTop w:val="0"/>
      <w:marBottom w:val="0"/>
      <w:divBdr>
        <w:top w:val="none" w:sz="0" w:space="0" w:color="auto"/>
        <w:left w:val="none" w:sz="0" w:space="0" w:color="auto"/>
        <w:bottom w:val="none" w:sz="0" w:space="0" w:color="auto"/>
        <w:right w:val="none" w:sz="0" w:space="0" w:color="auto"/>
      </w:divBdr>
      <w:divsChild>
        <w:div w:id="1071275095">
          <w:marLeft w:val="0"/>
          <w:marRight w:val="0"/>
          <w:marTop w:val="0"/>
          <w:marBottom w:val="0"/>
          <w:divBdr>
            <w:top w:val="none" w:sz="0" w:space="0" w:color="auto"/>
            <w:left w:val="none" w:sz="0" w:space="0" w:color="auto"/>
            <w:bottom w:val="none" w:sz="0" w:space="0" w:color="auto"/>
            <w:right w:val="none" w:sz="0" w:space="0" w:color="auto"/>
          </w:divBdr>
          <w:divsChild>
            <w:div w:id="1858422223">
              <w:marLeft w:val="0"/>
              <w:marRight w:val="0"/>
              <w:marTop w:val="0"/>
              <w:marBottom w:val="0"/>
              <w:divBdr>
                <w:top w:val="none" w:sz="0" w:space="0" w:color="auto"/>
                <w:left w:val="none" w:sz="0" w:space="0" w:color="auto"/>
                <w:bottom w:val="none" w:sz="0" w:space="0" w:color="auto"/>
                <w:right w:val="none" w:sz="0" w:space="0" w:color="auto"/>
              </w:divBdr>
              <w:divsChild>
                <w:div w:id="10774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203">
      <w:bodyDiv w:val="1"/>
      <w:marLeft w:val="0"/>
      <w:marRight w:val="0"/>
      <w:marTop w:val="0"/>
      <w:marBottom w:val="0"/>
      <w:divBdr>
        <w:top w:val="none" w:sz="0" w:space="0" w:color="auto"/>
        <w:left w:val="none" w:sz="0" w:space="0" w:color="auto"/>
        <w:bottom w:val="none" w:sz="0" w:space="0" w:color="auto"/>
        <w:right w:val="none" w:sz="0" w:space="0" w:color="auto"/>
      </w:divBdr>
      <w:divsChild>
        <w:div w:id="1996958534">
          <w:marLeft w:val="0"/>
          <w:marRight w:val="0"/>
          <w:marTop w:val="0"/>
          <w:marBottom w:val="0"/>
          <w:divBdr>
            <w:top w:val="none" w:sz="0" w:space="0" w:color="auto"/>
            <w:left w:val="none" w:sz="0" w:space="0" w:color="auto"/>
            <w:bottom w:val="none" w:sz="0" w:space="0" w:color="auto"/>
            <w:right w:val="none" w:sz="0" w:space="0" w:color="auto"/>
          </w:divBdr>
          <w:divsChild>
            <w:div w:id="1383561051">
              <w:marLeft w:val="0"/>
              <w:marRight w:val="0"/>
              <w:marTop w:val="0"/>
              <w:marBottom w:val="0"/>
              <w:divBdr>
                <w:top w:val="none" w:sz="0" w:space="0" w:color="auto"/>
                <w:left w:val="none" w:sz="0" w:space="0" w:color="auto"/>
                <w:bottom w:val="none" w:sz="0" w:space="0" w:color="auto"/>
                <w:right w:val="none" w:sz="0" w:space="0" w:color="auto"/>
              </w:divBdr>
              <w:divsChild>
                <w:div w:id="18072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4626">
      <w:bodyDiv w:val="1"/>
      <w:marLeft w:val="0"/>
      <w:marRight w:val="0"/>
      <w:marTop w:val="0"/>
      <w:marBottom w:val="0"/>
      <w:divBdr>
        <w:top w:val="none" w:sz="0" w:space="0" w:color="auto"/>
        <w:left w:val="none" w:sz="0" w:space="0" w:color="auto"/>
        <w:bottom w:val="none" w:sz="0" w:space="0" w:color="auto"/>
        <w:right w:val="none" w:sz="0" w:space="0" w:color="auto"/>
      </w:divBdr>
      <w:divsChild>
        <w:div w:id="1605383933">
          <w:marLeft w:val="0"/>
          <w:marRight w:val="0"/>
          <w:marTop w:val="0"/>
          <w:marBottom w:val="0"/>
          <w:divBdr>
            <w:top w:val="none" w:sz="0" w:space="0" w:color="auto"/>
            <w:left w:val="none" w:sz="0" w:space="0" w:color="auto"/>
            <w:bottom w:val="none" w:sz="0" w:space="0" w:color="auto"/>
            <w:right w:val="none" w:sz="0" w:space="0" w:color="auto"/>
          </w:divBdr>
          <w:divsChild>
            <w:div w:id="587076385">
              <w:marLeft w:val="0"/>
              <w:marRight w:val="0"/>
              <w:marTop w:val="0"/>
              <w:marBottom w:val="0"/>
              <w:divBdr>
                <w:top w:val="none" w:sz="0" w:space="0" w:color="auto"/>
                <w:left w:val="none" w:sz="0" w:space="0" w:color="auto"/>
                <w:bottom w:val="none" w:sz="0" w:space="0" w:color="auto"/>
                <w:right w:val="none" w:sz="0" w:space="0" w:color="auto"/>
              </w:divBdr>
              <w:divsChild>
                <w:div w:id="20637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3357">
      <w:bodyDiv w:val="1"/>
      <w:marLeft w:val="0"/>
      <w:marRight w:val="0"/>
      <w:marTop w:val="0"/>
      <w:marBottom w:val="0"/>
      <w:divBdr>
        <w:top w:val="none" w:sz="0" w:space="0" w:color="auto"/>
        <w:left w:val="none" w:sz="0" w:space="0" w:color="auto"/>
        <w:bottom w:val="none" w:sz="0" w:space="0" w:color="auto"/>
        <w:right w:val="none" w:sz="0" w:space="0" w:color="auto"/>
      </w:divBdr>
      <w:divsChild>
        <w:div w:id="1198154186">
          <w:marLeft w:val="0"/>
          <w:marRight w:val="0"/>
          <w:marTop w:val="0"/>
          <w:marBottom w:val="0"/>
          <w:divBdr>
            <w:top w:val="none" w:sz="0" w:space="0" w:color="auto"/>
            <w:left w:val="none" w:sz="0" w:space="0" w:color="auto"/>
            <w:bottom w:val="none" w:sz="0" w:space="0" w:color="auto"/>
            <w:right w:val="none" w:sz="0" w:space="0" w:color="auto"/>
          </w:divBdr>
          <w:divsChild>
            <w:div w:id="1129860644">
              <w:marLeft w:val="0"/>
              <w:marRight w:val="0"/>
              <w:marTop w:val="0"/>
              <w:marBottom w:val="0"/>
              <w:divBdr>
                <w:top w:val="none" w:sz="0" w:space="0" w:color="auto"/>
                <w:left w:val="none" w:sz="0" w:space="0" w:color="auto"/>
                <w:bottom w:val="none" w:sz="0" w:space="0" w:color="auto"/>
                <w:right w:val="none" w:sz="0" w:space="0" w:color="auto"/>
              </w:divBdr>
              <w:divsChild>
                <w:div w:id="1345941917">
                  <w:marLeft w:val="0"/>
                  <w:marRight w:val="0"/>
                  <w:marTop w:val="0"/>
                  <w:marBottom w:val="0"/>
                  <w:divBdr>
                    <w:top w:val="none" w:sz="0" w:space="0" w:color="auto"/>
                    <w:left w:val="none" w:sz="0" w:space="0" w:color="auto"/>
                    <w:bottom w:val="none" w:sz="0" w:space="0" w:color="auto"/>
                    <w:right w:val="none" w:sz="0" w:space="0" w:color="auto"/>
                  </w:divBdr>
                  <w:divsChild>
                    <w:div w:id="6912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7542">
      <w:bodyDiv w:val="1"/>
      <w:marLeft w:val="0"/>
      <w:marRight w:val="0"/>
      <w:marTop w:val="0"/>
      <w:marBottom w:val="0"/>
      <w:divBdr>
        <w:top w:val="none" w:sz="0" w:space="0" w:color="auto"/>
        <w:left w:val="none" w:sz="0" w:space="0" w:color="auto"/>
        <w:bottom w:val="none" w:sz="0" w:space="0" w:color="auto"/>
        <w:right w:val="none" w:sz="0" w:space="0" w:color="auto"/>
      </w:divBdr>
      <w:divsChild>
        <w:div w:id="1621453893">
          <w:marLeft w:val="0"/>
          <w:marRight w:val="0"/>
          <w:marTop w:val="0"/>
          <w:marBottom w:val="0"/>
          <w:divBdr>
            <w:top w:val="none" w:sz="0" w:space="0" w:color="auto"/>
            <w:left w:val="none" w:sz="0" w:space="0" w:color="auto"/>
            <w:bottom w:val="none" w:sz="0" w:space="0" w:color="auto"/>
            <w:right w:val="none" w:sz="0" w:space="0" w:color="auto"/>
          </w:divBdr>
          <w:divsChild>
            <w:div w:id="89551866">
              <w:marLeft w:val="0"/>
              <w:marRight w:val="0"/>
              <w:marTop w:val="0"/>
              <w:marBottom w:val="0"/>
              <w:divBdr>
                <w:top w:val="none" w:sz="0" w:space="0" w:color="auto"/>
                <w:left w:val="none" w:sz="0" w:space="0" w:color="auto"/>
                <w:bottom w:val="none" w:sz="0" w:space="0" w:color="auto"/>
                <w:right w:val="none" w:sz="0" w:space="0" w:color="auto"/>
              </w:divBdr>
              <w:divsChild>
                <w:div w:id="7607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2288">
      <w:bodyDiv w:val="1"/>
      <w:marLeft w:val="0"/>
      <w:marRight w:val="0"/>
      <w:marTop w:val="0"/>
      <w:marBottom w:val="0"/>
      <w:divBdr>
        <w:top w:val="none" w:sz="0" w:space="0" w:color="auto"/>
        <w:left w:val="none" w:sz="0" w:space="0" w:color="auto"/>
        <w:bottom w:val="none" w:sz="0" w:space="0" w:color="auto"/>
        <w:right w:val="none" w:sz="0" w:space="0" w:color="auto"/>
      </w:divBdr>
      <w:divsChild>
        <w:div w:id="1838961047">
          <w:marLeft w:val="0"/>
          <w:marRight w:val="0"/>
          <w:marTop w:val="0"/>
          <w:marBottom w:val="0"/>
          <w:divBdr>
            <w:top w:val="none" w:sz="0" w:space="0" w:color="auto"/>
            <w:left w:val="none" w:sz="0" w:space="0" w:color="auto"/>
            <w:bottom w:val="none" w:sz="0" w:space="0" w:color="auto"/>
            <w:right w:val="none" w:sz="0" w:space="0" w:color="auto"/>
          </w:divBdr>
          <w:divsChild>
            <w:div w:id="973367066">
              <w:marLeft w:val="0"/>
              <w:marRight w:val="0"/>
              <w:marTop w:val="0"/>
              <w:marBottom w:val="0"/>
              <w:divBdr>
                <w:top w:val="none" w:sz="0" w:space="0" w:color="auto"/>
                <w:left w:val="none" w:sz="0" w:space="0" w:color="auto"/>
                <w:bottom w:val="none" w:sz="0" w:space="0" w:color="auto"/>
                <w:right w:val="none" w:sz="0" w:space="0" w:color="auto"/>
              </w:divBdr>
              <w:divsChild>
                <w:div w:id="1542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1187">
      <w:bodyDiv w:val="1"/>
      <w:marLeft w:val="0"/>
      <w:marRight w:val="0"/>
      <w:marTop w:val="0"/>
      <w:marBottom w:val="0"/>
      <w:divBdr>
        <w:top w:val="none" w:sz="0" w:space="0" w:color="auto"/>
        <w:left w:val="none" w:sz="0" w:space="0" w:color="auto"/>
        <w:bottom w:val="none" w:sz="0" w:space="0" w:color="auto"/>
        <w:right w:val="none" w:sz="0" w:space="0" w:color="auto"/>
      </w:divBdr>
      <w:divsChild>
        <w:div w:id="766730421">
          <w:marLeft w:val="0"/>
          <w:marRight w:val="0"/>
          <w:marTop w:val="0"/>
          <w:marBottom w:val="0"/>
          <w:divBdr>
            <w:top w:val="none" w:sz="0" w:space="0" w:color="auto"/>
            <w:left w:val="none" w:sz="0" w:space="0" w:color="auto"/>
            <w:bottom w:val="none" w:sz="0" w:space="0" w:color="auto"/>
            <w:right w:val="none" w:sz="0" w:space="0" w:color="auto"/>
          </w:divBdr>
          <w:divsChild>
            <w:div w:id="205415115">
              <w:marLeft w:val="0"/>
              <w:marRight w:val="0"/>
              <w:marTop w:val="0"/>
              <w:marBottom w:val="0"/>
              <w:divBdr>
                <w:top w:val="none" w:sz="0" w:space="0" w:color="auto"/>
                <w:left w:val="none" w:sz="0" w:space="0" w:color="auto"/>
                <w:bottom w:val="none" w:sz="0" w:space="0" w:color="auto"/>
                <w:right w:val="none" w:sz="0" w:space="0" w:color="auto"/>
              </w:divBdr>
              <w:divsChild>
                <w:div w:id="476142111">
                  <w:marLeft w:val="0"/>
                  <w:marRight w:val="0"/>
                  <w:marTop w:val="0"/>
                  <w:marBottom w:val="0"/>
                  <w:divBdr>
                    <w:top w:val="none" w:sz="0" w:space="0" w:color="auto"/>
                    <w:left w:val="none" w:sz="0" w:space="0" w:color="auto"/>
                    <w:bottom w:val="none" w:sz="0" w:space="0" w:color="auto"/>
                    <w:right w:val="none" w:sz="0" w:space="0" w:color="auto"/>
                  </w:divBdr>
                  <w:divsChild>
                    <w:div w:id="14560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4746">
      <w:bodyDiv w:val="1"/>
      <w:marLeft w:val="0"/>
      <w:marRight w:val="0"/>
      <w:marTop w:val="0"/>
      <w:marBottom w:val="0"/>
      <w:divBdr>
        <w:top w:val="none" w:sz="0" w:space="0" w:color="auto"/>
        <w:left w:val="none" w:sz="0" w:space="0" w:color="auto"/>
        <w:bottom w:val="none" w:sz="0" w:space="0" w:color="auto"/>
        <w:right w:val="none" w:sz="0" w:space="0" w:color="auto"/>
      </w:divBdr>
      <w:divsChild>
        <w:div w:id="890846604">
          <w:marLeft w:val="0"/>
          <w:marRight w:val="0"/>
          <w:marTop w:val="0"/>
          <w:marBottom w:val="0"/>
          <w:divBdr>
            <w:top w:val="none" w:sz="0" w:space="0" w:color="auto"/>
            <w:left w:val="none" w:sz="0" w:space="0" w:color="auto"/>
            <w:bottom w:val="none" w:sz="0" w:space="0" w:color="auto"/>
            <w:right w:val="none" w:sz="0" w:space="0" w:color="auto"/>
          </w:divBdr>
          <w:divsChild>
            <w:div w:id="1304040808">
              <w:marLeft w:val="0"/>
              <w:marRight w:val="0"/>
              <w:marTop w:val="0"/>
              <w:marBottom w:val="0"/>
              <w:divBdr>
                <w:top w:val="none" w:sz="0" w:space="0" w:color="auto"/>
                <w:left w:val="none" w:sz="0" w:space="0" w:color="auto"/>
                <w:bottom w:val="none" w:sz="0" w:space="0" w:color="auto"/>
                <w:right w:val="none" w:sz="0" w:space="0" w:color="auto"/>
              </w:divBdr>
              <w:divsChild>
                <w:div w:id="18689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12380">
      <w:bodyDiv w:val="1"/>
      <w:marLeft w:val="0"/>
      <w:marRight w:val="0"/>
      <w:marTop w:val="0"/>
      <w:marBottom w:val="0"/>
      <w:divBdr>
        <w:top w:val="none" w:sz="0" w:space="0" w:color="auto"/>
        <w:left w:val="none" w:sz="0" w:space="0" w:color="auto"/>
        <w:bottom w:val="none" w:sz="0" w:space="0" w:color="auto"/>
        <w:right w:val="none" w:sz="0" w:space="0" w:color="auto"/>
      </w:divBdr>
      <w:divsChild>
        <w:div w:id="598947915">
          <w:marLeft w:val="0"/>
          <w:marRight w:val="0"/>
          <w:marTop w:val="0"/>
          <w:marBottom w:val="0"/>
          <w:divBdr>
            <w:top w:val="none" w:sz="0" w:space="0" w:color="auto"/>
            <w:left w:val="none" w:sz="0" w:space="0" w:color="auto"/>
            <w:bottom w:val="none" w:sz="0" w:space="0" w:color="auto"/>
            <w:right w:val="none" w:sz="0" w:space="0" w:color="auto"/>
          </w:divBdr>
          <w:divsChild>
            <w:div w:id="738484945">
              <w:marLeft w:val="0"/>
              <w:marRight w:val="0"/>
              <w:marTop w:val="0"/>
              <w:marBottom w:val="0"/>
              <w:divBdr>
                <w:top w:val="none" w:sz="0" w:space="0" w:color="auto"/>
                <w:left w:val="none" w:sz="0" w:space="0" w:color="auto"/>
                <w:bottom w:val="none" w:sz="0" w:space="0" w:color="auto"/>
                <w:right w:val="none" w:sz="0" w:space="0" w:color="auto"/>
              </w:divBdr>
              <w:divsChild>
                <w:div w:id="3678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7725">
      <w:bodyDiv w:val="1"/>
      <w:marLeft w:val="0"/>
      <w:marRight w:val="0"/>
      <w:marTop w:val="0"/>
      <w:marBottom w:val="0"/>
      <w:divBdr>
        <w:top w:val="none" w:sz="0" w:space="0" w:color="auto"/>
        <w:left w:val="none" w:sz="0" w:space="0" w:color="auto"/>
        <w:bottom w:val="none" w:sz="0" w:space="0" w:color="auto"/>
        <w:right w:val="none" w:sz="0" w:space="0" w:color="auto"/>
      </w:divBdr>
      <w:divsChild>
        <w:div w:id="1774663779">
          <w:marLeft w:val="0"/>
          <w:marRight w:val="0"/>
          <w:marTop w:val="0"/>
          <w:marBottom w:val="0"/>
          <w:divBdr>
            <w:top w:val="none" w:sz="0" w:space="0" w:color="auto"/>
            <w:left w:val="none" w:sz="0" w:space="0" w:color="auto"/>
            <w:bottom w:val="none" w:sz="0" w:space="0" w:color="auto"/>
            <w:right w:val="none" w:sz="0" w:space="0" w:color="auto"/>
          </w:divBdr>
          <w:divsChild>
            <w:div w:id="1820152790">
              <w:marLeft w:val="0"/>
              <w:marRight w:val="0"/>
              <w:marTop w:val="0"/>
              <w:marBottom w:val="0"/>
              <w:divBdr>
                <w:top w:val="none" w:sz="0" w:space="0" w:color="auto"/>
                <w:left w:val="none" w:sz="0" w:space="0" w:color="auto"/>
                <w:bottom w:val="none" w:sz="0" w:space="0" w:color="auto"/>
                <w:right w:val="none" w:sz="0" w:space="0" w:color="auto"/>
              </w:divBdr>
              <w:divsChild>
                <w:div w:id="385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136">
      <w:bodyDiv w:val="1"/>
      <w:marLeft w:val="0"/>
      <w:marRight w:val="0"/>
      <w:marTop w:val="0"/>
      <w:marBottom w:val="0"/>
      <w:divBdr>
        <w:top w:val="none" w:sz="0" w:space="0" w:color="auto"/>
        <w:left w:val="none" w:sz="0" w:space="0" w:color="auto"/>
        <w:bottom w:val="none" w:sz="0" w:space="0" w:color="auto"/>
        <w:right w:val="none" w:sz="0" w:space="0" w:color="auto"/>
      </w:divBdr>
      <w:divsChild>
        <w:div w:id="776094529">
          <w:marLeft w:val="0"/>
          <w:marRight w:val="0"/>
          <w:marTop w:val="0"/>
          <w:marBottom w:val="0"/>
          <w:divBdr>
            <w:top w:val="none" w:sz="0" w:space="0" w:color="auto"/>
            <w:left w:val="none" w:sz="0" w:space="0" w:color="auto"/>
            <w:bottom w:val="none" w:sz="0" w:space="0" w:color="auto"/>
            <w:right w:val="none" w:sz="0" w:space="0" w:color="auto"/>
          </w:divBdr>
          <w:divsChild>
            <w:div w:id="1341279856">
              <w:marLeft w:val="0"/>
              <w:marRight w:val="0"/>
              <w:marTop w:val="0"/>
              <w:marBottom w:val="0"/>
              <w:divBdr>
                <w:top w:val="none" w:sz="0" w:space="0" w:color="auto"/>
                <w:left w:val="none" w:sz="0" w:space="0" w:color="auto"/>
                <w:bottom w:val="none" w:sz="0" w:space="0" w:color="auto"/>
                <w:right w:val="none" w:sz="0" w:space="0" w:color="auto"/>
              </w:divBdr>
              <w:divsChild>
                <w:div w:id="7581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7455">
      <w:bodyDiv w:val="1"/>
      <w:marLeft w:val="0"/>
      <w:marRight w:val="0"/>
      <w:marTop w:val="0"/>
      <w:marBottom w:val="0"/>
      <w:divBdr>
        <w:top w:val="none" w:sz="0" w:space="0" w:color="auto"/>
        <w:left w:val="none" w:sz="0" w:space="0" w:color="auto"/>
        <w:bottom w:val="none" w:sz="0" w:space="0" w:color="auto"/>
        <w:right w:val="none" w:sz="0" w:space="0" w:color="auto"/>
      </w:divBdr>
      <w:divsChild>
        <w:div w:id="1003775121">
          <w:marLeft w:val="0"/>
          <w:marRight w:val="0"/>
          <w:marTop w:val="0"/>
          <w:marBottom w:val="0"/>
          <w:divBdr>
            <w:top w:val="none" w:sz="0" w:space="0" w:color="auto"/>
            <w:left w:val="none" w:sz="0" w:space="0" w:color="auto"/>
            <w:bottom w:val="none" w:sz="0" w:space="0" w:color="auto"/>
            <w:right w:val="none" w:sz="0" w:space="0" w:color="auto"/>
          </w:divBdr>
          <w:divsChild>
            <w:div w:id="1608269530">
              <w:marLeft w:val="0"/>
              <w:marRight w:val="0"/>
              <w:marTop w:val="0"/>
              <w:marBottom w:val="0"/>
              <w:divBdr>
                <w:top w:val="none" w:sz="0" w:space="0" w:color="auto"/>
                <w:left w:val="none" w:sz="0" w:space="0" w:color="auto"/>
                <w:bottom w:val="none" w:sz="0" w:space="0" w:color="auto"/>
                <w:right w:val="none" w:sz="0" w:space="0" w:color="auto"/>
              </w:divBdr>
              <w:divsChild>
                <w:div w:id="500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539">
      <w:bodyDiv w:val="1"/>
      <w:marLeft w:val="0"/>
      <w:marRight w:val="0"/>
      <w:marTop w:val="0"/>
      <w:marBottom w:val="0"/>
      <w:divBdr>
        <w:top w:val="none" w:sz="0" w:space="0" w:color="auto"/>
        <w:left w:val="none" w:sz="0" w:space="0" w:color="auto"/>
        <w:bottom w:val="none" w:sz="0" w:space="0" w:color="auto"/>
        <w:right w:val="none" w:sz="0" w:space="0" w:color="auto"/>
      </w:divBdr>
      <w:divsChild>
        <w:div w:id="1249971753">
          <w:marLeft w:val="0"/>
          <w:marRight w:val="0"/>
          <w:marTop w:val="0"/>
          <w:marBottom w:val="0"/>
          <w:divBdr>
            <w:top w:val="none" w:sz="0" w:space="0" w:color="auto"/>
            <w:left w:val="none" w:sz="0" w:space="0" w:color="auto"/>
            <w:bottom w:val="none" w:sz="0" w:space="0" w:color="auto"/>
            <w:right w:val="none" w:sz="0" w:space="0" w:color="auto"/>
          </w:divBdr>
          <w:divsChild>
            <w:div w:id="1419213724">
              <w:marLeft w:val="0"/>
              <w:marRight w:val="0"/>
              <w:marTop w:val="0"/>
              <w:marBottom w:val="0"/>
              <w:divBdr>
                <w:top w:val="none" w:sz="0" w:space="0" w:color="auto"/>
                <w:left w:val="none" w:sz="0" w:space="0" w:color="auto"/>
                <w:bottom w:val="none" w:sz="0" w:space="0" w:color="auto"/>
                <w:right w:val="none" w:sz="0" w:space="0" w:color="auto"/>
              </w:divBdr>
              <w:divsChild>
                <w:div w:id="13403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4871">
      <w:bodyDiv w:val="1"/>
      <w:marLeft w:val="0"/>
      <w:marRight w:val="0"/>
      <w:marTop w:val="0"/>
      <w:marBottom w:val="0"/>
      <w:divBdr>
        <w:top w:val="none" w:sz="0" w:space="0" w:color="auto"/>
        <w:left w:val="none" w:sz="0" w:space="0" w:color="auto"/>
        <w:bottom w:val="none" w:sz="0" w:space="0" w:color="auto"/>
        <w:right w:val="none" w:sz="0" w:space="0" w:color="auto"/>
      </w:divBdr>
      <w:divsChild>
        <w:div w:id="179515393">
          <w:marLeft w:val="0"/>
          <w:marRight w:val="0"/>
          <w:marTop w:val="0"/>
          <w:marBottom w:val="0"/>
          <w:divBdr>
            <w:top w:val="none" w:sz="0" w:space="0" w:color="auto"/>
            <w:left w:val="none" w:sz="0" w:space="0" w:color="auto"/>
            <w:bottom w:val="none" w:sz="0" w:space="0" w:color="auto"/>
            <w:right w:val="none" w:sz="0" w:space="0" w:color="auto"/>
          </w:divBdr>
          <w:divsChild>
            <w:div w:id="670530572">
              <w:marLeft w:val="0"/>
              <w:marRight w:val="0"/>
              <w:marTop w:val="0"/>
              <w:marBottom w:val="0"/>
              <w:divBdr>
                <w:top w:val="none" w:sz="0" w:space="0" w:color="auto"/>
                <w:left w:val="none" w:sz="0" w:space="0" w:color="auto"/>
                <w:bottom w:val="none" w:sz="0" w:space="0" w:color="auto"/>
                <w:right w:val="none" w:sz="0" w:space="0" w:color="auto"/>
              </w:divBdr>
              <w:divsChild>
                <w:div w:id="6037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4560">
      <w:bodyDiv w:val="1"/>
      <w:marLeft w:val="0"/>
      <w:marRight w:val="0"/>
      <w:marTop w:val="0"/>
      <w:marBottom w:val="0"/>
      <w:divBdr>
        <w:top w:val="none" w:sz="0" w:space="0" w:color="auto"/>
        <w:left w:val="none" w:sz="0" w:space="0" w:color="auto"/>
        <w:bottom w:val="none" w:sz="0" w:space="0" w:color="auto"/>
        <w:right w:val="none" w:sz="0" w:space="0" w:color="auto"/>
      </w:divBdr>
      <w:divsChild>
        <w:div w:id="2083604537">
          <w:marLeft w:val="0"/>
          <w:marRight w:val="0"/>
          <w:marTop w:val="0"/>
          <w:marBottom w:val="0"/>
          <w:divBdr>
            <w:top w:val="none" w:sz="0" w:space="0" w:color="auto"/>
            <w:left w:val="none" w:sz="0" w:space="0" w:color="auto"/>
            <w:bottom w:val="none" w:sz="0" w:space="0" w:color="auto"/>
            <w:right w:val="none" w:sz="0" w:space="0" w:color="auto"/>
          </w:divBdr>
          <w:divsChild>
            <w:div w:id="894240551">
              <w:marLeft w:val="0"/>
              <w:marRight w:val="0"/>
              <w:marTop w:val="0"/>
              <w:marBottom w:val="0"/>
              <w:divBdr>
                <w:top w:val="none" w:sz="0" w:space="0" w:color="auto"/>
                <w:left w:val="none" w:sz="0" w:space="0" w:color="auto"/>
                <w:bottom w:val="none" w:sz="0" w:space="0" w:color="auto"/>
                <w:right w:val="none" w:sz="0" w:space="0" w:color="auto"/>
              </w:divBdr>
              <w:divsChild>
                <w:div w:id="1290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138">
      <w:bodyDiv w:val="1"/>
      <w:marLeft w:val="0"/>
      <w:marRight w:val="0"/>
      <w:marTop w:val="0"/>
      <w:marBottom w:val="0"/>
      <w:divBdr>
        <w:top w:val="none" w:sz="0" w:space="0" w:color="auto"/>
        <w:left w:val="none" w:sz="0" w:space="0" w:color="auto"/>
        <w:bottom w:val="none" w:sz="0" w:space="0" w:color="auto"/>
        <w:right w:val="none" w:sz="0" w:space="0" w:color="auto"/>
      </w:divBdr>
      <w:divsChild>
        <w:div w:id="1851292312">
          <w:marLeft w:val="0"/>
          <w:marRight w:val="0"/>
          <w:marTop w:val="0"/>
          <w:marBottom w:val="0"/>
          <w:divBdr>
            <w:top w:val="none" w:sz="0" w:space="0" w:color="auto"/>
            <w:left w:val="none" w:sz="0" w:space="0" w:color="auto"/>
            <w:bottom w:val="none" w:sz="0" w:space="0" w:color="auto"/>
            <w:right w:val="none" w:sz="0" w:space="0" w:color="auto"/>
          </w:divBdr>
          <w:divsChild>
            <w:div w:id="825048832">
              <w:marLeft w:val="0"/>
              <w:marRight w:val="0"/>
              <w:marTop w:val="0"/>
              <w:marBottom w:val="0"/>
              <w:divBdr>
                <w:top w:val="none" w:sz="0" w:space="0" w:color="auto"/>
                <w:left w:val="none" w:sz="0" w:space="0" w:color="auto"/>
                <w:bottom w:val="none" w:sz="0" w:space="0" w:color="auto"/>
                <w:right w:val="none" w:sz="0" w:space="0" w:color="auto"/>
              </w:divBdr>
              <w:divsChild>
                <w:div w:id="13120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8230">
      <w:bodyDiv w:val="1"/>
      <w:marLeft w:val="0"/>
      <w:marRight w:val="0"/>
      <w:marTop w:val="0"/>
      <w:marBottom w:val="0"/>
      <w:divBdr>
        <w:top w:val="none" w:sz="0" w:space="0" w:color="auto"/>
        <w:left w:val="none" w:sz="0" w:space="0" w:color="auto"/>
        <w:bottom w:val="none" w:sz="0" w:space="0" w:color="auto"/>
        <w:right w:val="none" w:sz="0" w:space="0" w:color="auto"/>
      </w:divBdr>
      <w:divsChild>
        <w:div w:id="1132750697">
          <w:marLeft w:val="0"/>
          <w:marRight w:val="0"/>
          <w:marTop w:val="0"/>
          <w:marBottom w:val="0"/>
          <w:divBdr>
            <w:top w:val="none" w:sz="0" w:space="0" w:color="auto"/>
            <w:left w:val="none" w:sz="0" w:space="0" w:color="auto"/>
            <w:bottom w:val="none" w:sz="0" w:space="0" w:color="auto"/>
            <w:right w:val="none" w:sz="0" w:space="0" w:color="auto"/>
          </w:divBdr>
          <w:divsChild>
            <w:div w:id="498039925">
              <w:marLeft w:val="0"/>
              <w:marRight w:val="0"/>
              <w:marTop w:val="0"/>
              <w:marBottom w:val="0"/>
              <w:divBdr>
                <w:top w:val="none" w:sz="0" w:space="0" w:color="auto"/>
                <w:left w:val="none" w:sz="0" w:space="0" w:color="auto"/>
                <w:bottom w:val="none" w:sz="0" w:space="0" w:color="auto"/>
                <w:right w:val="none" w:sz="0" w:space="0" w:color="auto"/>
              </w:divBdr>
              <w:divsChild>
                <w:div w:id="8947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4325">
      <w:bodyDiv w:val="1"/>
      <w:marLeft w:val="0"/>
      <w:marRight w:val="0"/>
      <w:marTop w:val="0"/>
      <w:marBottom w:val="0"/>
      <w:divBdr>
        <w:top w:val="none" w:sz="0" w:space="0" w:color="auto"/>
        <w:left w:val="none" w:sz="0" w:space="0" w:color="auto"/>
        <w:bottom w:val="none" w:sz="0" w:space="0" w:color="auto"/>
        <w:right w:val="none" w:sz="0" w:space="0" w:color="auto"/>
      </w:divBdr>
      <w:divsChild>
        <w:div w:id="36509619">
          <w:marLeft w:val="0"/>
          <w:marRight w:val="0"/>
          <w:marTop w:val="0"/>
          <w:marBottom w:val="0"/>
          <w:divBdr>
            <w:top w:val="none" w:sz="0" w:space="0" w:color="auto"/>
            <w:left w:val="none" w:sz="0" w:space="0" w:color="auto"/>
            <w:bottom w:val="none" w:sz="0" w:space="0" w:color="auto"/>
            <w:right w:val="none" w:sz="0" w:space="0" w:color="auto"/>
          </w:divBdr>
          <w:divsChild>
            <w:div w:id="2039044769">
              <w:marLeft w:val="0"/>
              <w:marRight w:val="0"/>
              <w:marTop w:val="0"/>
              <w:marBottom w:val="0"/>
              <w:divBdr>
                <w:top w:val="none" w:sz="0" w:space="0" w:color="auto"/>
                <w:left w:val="none" w:sz="0" w:space="0" w:color="auto"/>
                <w:bottom w:val="none" w:sz="0" w:space="0" w:color="auto"/>
                <w:right w:val="none" w:sz="0" w:space="0" w:color="auto"/>
              </w:divBdr>
              <w:divsChild>
                <w:div w:id="20991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8545">
      <w:bodyDiv w:val="1"/>
      <w:marLeft w:val="0"/>
      <w:marRight w:val="0"/>
      <w:marTop w:val="0"/>
      <w:marBottom w:val="0"/>
      <w:divBdr>
        <w:top w:val="none" w:sz="0" w:space="0" w:color="auto"/>
        <w:left w:val="none" w:sz="0" w:space="0" w:color="auto"/>
        <w:bottom w:val="none" w:sz="0" w:space="0" w:color="auto"/>
        <w:right w:val="none" w:sz="0" w:space="0" w:color="auto"/>
      </w:divBdr>
      <w:divsChild>
        <w:div w:id="20402567">
          <w:marLeft w:val="0"/>
          <w:marRight w:val="0"/>
          <w:marTop w:val="0"/>
          <w:marBottom w:val="0"/>
          <w:divBdr>
            <w:top w:val="none" w:sz="0" w:space="0" w:color="auto"/>
            <w:left w:val="none" w:sz="0" w:space="0" w:color="auto"/>
            <w:bottom w:val="none" w:sz="0" w:space="0" w:color="auto"/>
            <w:right w:val="none" w:sz="0" w:space="0" w:color="auto"/>
          </w:divBdr>
          <w:divsChild>
            <w:div w:id="254097592">
              <w:marLeft w:val="0"/>
              <w:marRight w:val="0"/>
              <w:marTop w:val="0"/>
              <w:marBottom w:val="0"/>
              <w:divBdr>
                <w:top w:val="none" w:sz="0" w:space="0" w:color="auto"/>
                <w:left w:val="none" w:sz="0" w:space="0" w:color="auto"/>
                <w:bottom w:val="none" w:sz="0" w:space="0" w:color="auto"/>
                <w:right w:val="none" w:sz="0" w:space="0" w:color="auto"/>
              </w:divBdr>
              <w:divsChild>
                <w:div w:id="6900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1655">
      <w:bodyDiv w:val="1"/>
      <w:marLeft w:val="0"/>
      <w:marRight w:val="0"/>
      <w:marTop w:val="0"/>
      <w:marBottom w:val="0"/>
      <w:divBdr>
        <w:top w:val="none" w:sz="0" w:space="0" w:color="auto"/>
        <w:left w:val="none" w:sz="0" w:space="0" w:color="auto"/>
        <w:bottom w:val="none" w:sz="0" w:space="0" w:color="auto"/>
        <w:right w:val="none" w:sz="0" w:space="0" w:color="auto"/>
      </w:divBdr>
      <w:divsChild>
        <w:div w:id="1958635816">
          <w:marLeft w:val="0"/>
          <w:marRight w:val="0"/>
          <w:marTop w:val="0"/>
          <w:marBottom w:val="0"/>
          <w:divBdr>
            <w:top w:val="none" w:sz="0" w:space="0" w:color="auto"/>
            <w:left w:val="none" w:sz="0" w:space="0" w:color="auto"/>
            <w:bottom w:val="none" w:sz="0" w:space="0" w:color="auto"/>
            <w:right w:val="none" w:sz="0" w:space="0" w:color="auto"/>
          </w:divBdr>
          <w:divsChild>
            <w:div w:id="772748695">
              <w:marLeft w:val="0"/>
              <w:marRight w:val="0"/>
              <w:marTop w:val="0"/>
              <w:marBottom w:val="0"/>
              <w:divBdr>
                <w:top w:val="none" w:sz="0" w:space="0" w:color="auto"/>
                <w:left w:val="none" w:sz="0" w:space="0" w:color="auto"/>
                <w:bottom w:val="none" w:sz="0" w:space="0" w:color="auto"/>
                <w:right w:val="none" w:sz="0" w:space="0" w:color="auto"/>
              </w:divBdr>
              <w:divsChild>
                <w:div w:id="1529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0332">
      <w:bodyDiv w:val="1"/>
      <w:marLeft w:val="0"/>
      <w:marRight w:val="0"/>
      <w:marTop w:val="0"/>
      <w:marBottom w:val="0"/>
      <w:divBdr>
        <w:top w:val="none" w:sz="0" w:space="0" w:color="auto"/>
        <w:left w:val="none" w:sz="0" w:space="0" w:color="auto"/>
        <w:bottom w:val="none" w:sz="0" w:space="0" w:color="auto"/>
        <w:right w:val="none" w:sz="0" w:space="0" w:color="auto"/>
      </w:divBdr>
      <w:divsChild>
        <w:div w:id="1081147824">
          <w:marLeft w:val="0"/>
          <w:marRight w:val="0"/>
          <w:marTop w:val="0"/>
          <w:marBottom w:val="0"/>
          <w:divBdr>
            <w:top w:val="none" w:sz="0" w:space="0" w:color="auto"/>
            <w:left w:val="none" w:sz="0" w:space="0" w:color="auto"/>
            <w:bottom w:val="none" w:sz="0" w:space="0" w:color="auto"/>
            <w:right w:val="none" w:sz="0" w:space="0" w:color="auto"/>
          </w:divBdr>
          <w:divsChild>
            <w:div w:id="589394076">
              <w:marLeft w:val="0"/>
              <w:marRight w:val="0"/>
              <w:marTop w:val="0"/>
              <w:marBottom w:val="0"/>
              <w:divBdr>
                <w:top w:val="none" w:sz="0" w:space="0" w:color="auto"/>
                <w:left w:val="none" w:sz="0" w:space="0" w:color="auto"/>
                <w:bottom w:val="none" w:sz="0" w:space="0" w:color="auto"/>
                <w:right w:val="none" w:sz="0" w:space="0" w:color="auto"/>
              </w:divBdr>
              <w:divsChild>
                <w:div w:id="927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0894">
      <w:bodyDiv w:val="1"/>
      <w:marLeft w:val="0"/>
      <w:marRight w:val="0"/>
      <w:marTop w:val="0"/>
      <w:marBottom w:val="0"/>
      <w:divBdr>
        <w:top w:val="none" w:sz="0" w:space="0" w:color="auto"/>
        <w:left w:val="none" w:sz="0" w:space="0" w:color="auto"/>
        <w:bottom w:val="none" w:sz="0" w:space="0" w:color="auto"/>
        <w:right w:val="none" w:sz="0" w:space="0" w:color="auto"/>
      </w:divBdr>
      <w:divsChild>
        <w:div w:id="647628946">
          <w:marLeft w:val="0"/>
          <w:marRight w:val="0"/>
          <w:marTop w:val="0"/>
          <w:marBottom w:val="0"/>
          <w:divBdr>
            <w:top w:val="none" w:sz="0" w:space="0" w:color="auto"/>
            <w:left w:val="none" w:sz="0" w:space="0" w:color="auto"/>
            <w:bottom w:val="none" w:sz="0" w:space="0" w:color="auto"/>
            <w:right w:val="none" w:sz="0" w:space="0" w:color="auto"/>
          </w:divBdr>
          <w:divsChild>
            <w:div w:id="540172929">
              <w:marLeft w:val="0"/>
              <w:marRight w:val="0"/>
              <w:marTop w:val="0"/>
              <w:marBottom w:val="0"/>
              <w:divBdr>
                <w:top w:val="none" w:sz="0" w:space="0" w:color="auto"/>
                <w:left w:val="none" w:sz="0" w:space="0" w:color="auto"/>
                <w:bottom w:val="none" w:sz="0" w:space="0" w:color="auto"/>
                <w:right w:val="none" w:sz="0" w:space="0" w:color="auto"/>
              </w:divBdr>
              <w:divsChild>
                <w:div w:id="872688520">
                  <w:marLeft w:val="0"/>
                  <w:marRight w:val="0"/>
                  <w:marTop w:val="0"/>
                  <w:marBottom w:val="0"/>
                  <w:divBdr>
                    <w:top w:val="none" w:sz="0" w:space="0" w:color="auto"/>
                    <w:left w:val="none" w:sz="0" w:space="0" w:color="auto"/>
                    <w:bottom w:val="none" w:sz="0" w:space="0" w:color="auto"/>
                    <w:right w:val="none" w:sz="0" w:space="0" w:color="auto"/>
                  </w:divBdr>
                  <w:divsChild>
                    <w:div w:id="20782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238">
      <w:bodyDiv w:val="1"/>
      <w:marLeft w:val="0"/>
      <w:marRight w:val="0"/>
      <w:marTop w:val="0"/>
      <w:marBottom w:val="0"/>
      <w:divBdr>
        <w:top w:val="none" w:sz="0" w:space="0" w:color="auto"/>
        <w:left w:val="none" w:sz="0" w:space="0" w:color="auto"/>
        <w:bottom w:val="none" w:sz="0" w:space="0" w:color="auto"/>
        <w:right w:val="none" w:sz="0" w:space="0" w:color="auto"/>
      </w:divBdr>
      <w:divsChild>
        <w:div w:id="25372490">
          <w:marLeft w:val="0"/>
          <w:marRight w:val="0"/>
          <w:marTop w:val="0"/>
          <w:marBottom w:val="0"/>
          <w:divBdr>
            <w:top w:val="none" w:sz="0" w:space="0" w:color="auto"/>
            <w:left w:val="none" w:sz="0" w:space="0" w:color="auto"/>
            <w:bottom w:val="none" w:sz="0" w:space="0" w:color="auto"/>
            <w:right w:val="none" w:sz="0" w:space="0" w:color="auto"/>
          </w:divBdr>
          <w:divsChild>
            <w:div w:id="834035785">
              <w:marLeft w:val="0"/>
              <w:marRight w:val="0"/>
              <w:marTop w:val="0"/>
              <w:marBottom w:val="0"/>
              <w:divBdr>
                <w:top w:val="none" w:sz="0" w:space="0" w:color="auto"/>
                <w:left w:val="none" w:sz="0" w:space="0" w:color="auto"/>
                <w:bottom w:val="none" w:sz="0" w:space="0" w:color="auto"/>
                <w:right w:val="none" w:sz="0" w:space="0" w:color="auto"/>
              </w:divBdr>
              <w:divsChild>
                <w:div w:id="716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626">
      <w:bodyDiv w:val="1"/>
      <w:marLeft w:val="0"/>
      <w:marRight w:val="0"/>
      <w:marTop w:val="0"/>
      <w:marBottom w:val="0"/>
      <w:divBdr>
        <w:top w:val="none" w:sz="0" w:space="0" w:color="auto"/>
        <w:left w:val="none" w:sz="0" w:space="0" w:color="auto"/>
        <w:bottom w:val="none" w:sz="0" w:space="0" w:color="auto"/>
        <w:right w:val="none" w:sz="0" w:space="0" w:color="auto"/>
      </w:divBdr>
      <w:divsChild>
        <w:div w:id="814108873">
          <w:marLeft w:val="0"/>
          <w:marRight w:val="0"/>
          <w:marTop w:val="0"/>
          <w:marBottom w:val="0"/>
          <w:divBdr>
            <w:top w:val="none" w:sz="0" w:space="0" w:color="auto"/>
            <w:left w:val="none" w:sz="0" w:space="0" w:color="auto"/>
            <w:bottom w:val="none" w:sz="0" w:space="0" w:color="auto"/>
            <w:right w:val="none" w:sz="0" w:space="0" w:color="auto"/>
          </w:divBdr>
          <w:divsChild>
            <w:div w:id="1109742809">
              <w:marLeft w:val="0"/>
              <w:marRight w:val="0"/>
              <w:marTop w:val="0"/>
              <w:marBottom w:val="0"/>
              <w:divBdr>
                <w:top w:val="none" w:sz="0" w:space="0" w:color="auto"/>
                <w:left w:val="none" w:sz="0" w:space="0" w:color="auto"/>
                <w:bottom w:val="none" w:sz="0" w:space="0" w:color="auto"/>
                <w:right w:val="none" w:sz="0" w:space="0" w:color="auto"/>
              </w:divBdr>
              <w:divsChild>
                <w:div w:id="410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7943">
      <w:bodyDiv w:val="1"/>
      <w:marLeft w:val="0"/>
      <w:marRight w:val="0"/>
      <w:marTop w:val="0"/>
      <w:marBottom w:val="0"/>
      <w:divBdr>
        <w:top w:val="none" w:sz="0" w:space="0" w:color="auto"/>
        <w:left w:val="none" w:sz="0" w:space="0" w:color="auto"/>
        <w:bottom w:val="none" w:sz="0" w:space="0" w:color="auto"/>
        <w:right w:val="none" w:sz="0" w:space="0" w:color="auto"/>
      </w:divBdr>
      <w:divsChild>
        <w:div w:id="1419641048">
          <w:marLeft w:val="0"/>
          <w:marRight w:val="0"/>
          <w:marTop w:val="0"/>
          <w:marBottom w:val="0"/>
          <w:divBdr>
            <w:top w:val="none" w:sz="0" w:space="0" w:color="auto"/>
            <w:left w:val="none" w:sz="0" w:space="0" w:color="auto"/>
            <w:bottom w:val="none" w:sz="0" w:space="0" w:color="auto"/>
            <w:right w:val="none" w:sz="0" w:space="0" w:color="auto"/>
          </w:divBdr>
          <w:divsChild>
            <w:div w:id="966200383">
              <w:marLeft w:val="0"/>
              <w:marRight w:val="0"/>
              <w:marTop w:val="0"/>
              <w:marBottom w:val="0"/>
              <w:divBdr>
                <w:top w:val="none" w:sz="0" w:space="0" w:color="auto"/>
                <w:left w:val="none" w:sz="0" w:space="0" w:color="auto"/>
                <w:bottom w:val="none" w:sz="0" w:space="0" w:color="auto"/>
                <w:right w:val="none" w:sz="0" w:space="0" w:color="auto"/>
              </w:divBdr>
              <w:divsChild>
                <w:div w:id="1391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1077">
      <w:bodyDiv w:val="1"/>
      <w:marLeft w:val="0"/>
      <w:marRight w:val="0"/>
      <w:marTop w:val="0"/>
      <w:marBottom w:val="0"/>
      <w:divBdr>
        <w:top w:val="none" w:sz="0" w:space="0" w:color="auto"/>
        <w:left w:val="none" w:sz="0" w:space="0" w:color="auto"/>
        <w:bottom w:val="none" w:sz="0" w:space="0" w:color="auto"/>
        <w:right w:val="none" w:sz="0" w:space="0" w:color="auto"/>
      </w:divBdr>
      <w:divsChild>
        <w:div w:id="892540859">
          <w:marLeft w:val="0"/>
          <w:marRight w:val="0"/>
          <w:marTop w:val="0"/>
          <w:marBottom w:val="0"/>
          <w:divBdr>
            <w:top w:val="none" w:sz="0" w:space="0" w:color="auto"/>
            <w:left w:val="none" w:sz="0" w:space="0" w:color="auto"/>
            <w:bottom w:val="none" w:sz="0" w:space="0" w:color="auto"/>
            <w:right w:val="none" w:sz="0" w:space="0" w:color="auto"/>
          </w:divBdr>
          <w:divsChild>
            <w:div w:id="1464929779">
              <w:marLeft w:val="0"/>
              <w:marRight w:val="0"/>
              <w:marTop w:val="0"/>
              <w:marBottom w:val="0"/>
              <w:divBdr>
                <w:top w:val="none" w:sz="0" w:space="0" w:color="auto"/>
                <w:left w:val="none" w:sz="0" w:space="0" w:color="auto"/>
                <w:bottom w:val="none" w:sz="0" w:space="0" w:color="auto"/>
                <w:right w:val="none" w:sz="0" w:space="0" w:color="auto"/>
              </w:divBdr>
              <w:divsChild>
                <w:div w:id="1398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7977">
      <w:bodyDiv w:val="1"/>
      <w:marLeft w:val="0"/>
      <w:marRight w:val="0"/>
      <w:marTop w:val="0"/>
      <w:marBottom w:val="0"/>
      <w:divBdr>
        <w:top w:val="none" w:sz="0" w:space="0" w:color="auto"/>
        <w:left w:val="none" w:sz="0" w:space="0" w:color="auto"/>
        <w:bottom w:val="none" w:sz="0" w:space="0" w:color="auto"/>
        <w:right w:val="none" w:sz="0" w:space="0" w:color="auto"/>
      </w:divBdr>
      <w:divsChild>
        <w:div w:id="957370513">
          <w:marLeft w:val="0"/>
          <w:marRight w:val="0"/>
          <w:marTop w:val="0"/>
          <w:marBottom w:val="0"/>
          <w:divBdr>
            <w:top w:val="none" w:sz="0" w:space="0" w:color="auto"/>
            <w:left w:val="none" w:sz="0" w:space="0" w:color="auto"/>
            <w:bottom w:val="none" w:sz="0" w:space="0" w:color="auto"/>
            <w:right w:val="none" w:sz="0" w:space="0" w:color="auto"/>
          </w:divBdr>
          <w:divsChild>
            <w:div w:id="1066226315">
              <w:marLeft w:val="0"/>
              <w:marRight w:val="0"/>
              <w:marTop w:val="0"/>
              <w:marBottom w:val="0"/>
              <w:divBdr>
                <w:top w:val="none" w:sz="0" w:space="0" w:color="auto"/>
                <w:left w:val="none" w:sz="0" w:space="0" w:color="auto"/>
                <w:bottom w:val="none" w:sz="0" w:space="0" w:color="auto"/>
                <w:right w:val="none" w:sz="0" w:space="0" w:color="auto"/>
              </w:divBdr>
              <w:divsChild>
                <w:div w:id="451368320">
                  <w:marLeft w:val="0"/>
                  <w:marRight w:val="0"/>
                  <w:marTop w:val="0"/>
                  <w:marBottom w:val="0"/>
                  <w:divBdr>
                    <w:top w:val="none" w:sz="0" w:space="0" w:color="auto"/>
                    <w:left w:val="none" w:sz="0" w:space="0" w:color="auto"/>
                    <w:bottom w:val="none" w:sz="0" w:space="0" w:color="auto"/>
                    <w:right w:val="none" w:sz="0" w:space="0" w:color="auto"/>
                  </w:divBdr>
                  <w:divsChild>
                    <w:div w:id="1693914094">
                      <w:marLeft w:val="0"/>
                      <w:marRight w:val="0"/>
                      <w:marTop w:val="0"/>
                      <w:marBottom w:val="0"/>
                      <w:divBdr>
                        <w:top w:val="none" w:sz="0" w:space="0" w:color="auto"/>
                        <w:left w:val="none" w:sz="0" w:space="0" w:color="auto"/>
                        <w:bottom w:val="none" w:sz="0" w:space="0" w:color="auto"/>
                        <w:right w:val="none" w:sz="0" w:space="0" w:color="auto"/>
                      </w:divBdr>
                    </w:div>
                  </w:divsChild>
                </w:div>
                <w:div w:id="711878156">
                  <w:marLeft w:val="0"/>
                  <w:marRight w:val="0"/>
                  <w:marTop w:val="0"/>
                  <w:marBottom w:val="0"/>
                  <w:divBdr>
                    <w:top w:val="none" w:sz="0" w:space="0" w:color="auto"/>
                    <w:left w:val="none" w:sz="0" w:space="0" w:color="auto"/>
                    <w:bottom w:val="none" w:sz="0" w:space="0" w:color="auto"/>
                    <w:right w:val="none" w:sz="0" w:space="0" w:color="auto"/>
                  </w:divBdr>
                  <w:divsChild>
                    <w:div w:id="1107195199">
                      <w:marLeft w:val="0"/>
                      <w:marRight w:val="0"/>
                      <w:marTop w:val="0"/>
                      <w:marBottom w:val="0"/>
                      <w:divBdr>
                        <w:top w:val="none" w:sz="0" w:space="0" w:color="auto"/>
                        <w:left w:val="none" w:sz="0" w:space="0" w:color="auto"/>
                        <w:bottom w:val="none" w:sz="0" w:space="0" w:color="auto"/>
                        <w:right w:val="none" w:sz="0" w:space="0" w:color="auto"/>
                      </w:divBdr>
                    </w:div>
                  </w:divsChild>
                </w:div>
                <w:div w:id="1720518044">
                  <w:marLeft w:val="0"/>
                  <w:marRight w:val="0"/>
                  <w:marTop w:val="0"/>
                  <w:marBottom w:val="0"/>
                  <w:divBdr>
                    <w:top w:val="none" w:sz="0" w:space="0" w:color="auto"/>
                    <w:left w:val="none" w:sz="0" w:space="0" w:color="auto"/>
                    <w:bottom w:val="none" w:sz="0" w:space="0" w:color="auto"/>
                    <w:right w:val="none" w:sz="0" w:space="0" w:color="auto"/>
                  </w:divBdr>
                  <w:divsChild>
                    <w:div w:id="715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466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14">
          <w:marLeft w:val="0"/>
          <w:marRight w:val="0"/>
          <w:marTop w:val="0"/>
          <w:marBottom w:val="0"/>
          <w:divBdr>
            <w:top w:val="none" w:sz="0" w:space="0" w:color="auto"/>
            <w:left w:val="none" w:sz="0" w:space="0" w:color="auto"/>
            <w:bottom w:val="none" w:sz="0" w:space="0" w:color="auto"/>
            <w:right w:val="none" w:sz="0" w:space="0" w:color="auto"/>
          </w:divBdr>
          <w:divsChild>
            <w:div w:id="921841593">
              <w:marLeft w:val="0"/>
              <w:marRight w:val="0"/>
              <w:marTop w:val="0"/>
              <w:marBottom w:val="0"/>
              <w:divBdr>
                <w:top w:val="none" w:sz="0" w:space="0" w:color="auto"/>
                <w:left w:val="none" w:sz="0" w:space="0" w:color="auto"/>
                <w:bottom w:val="none" w:sz="0" w:space="0" w:color="auto"/>
                <w:right w:val="none" w:sz="0" w:space="0" w:color="auto"/>
              </w:divBdr>
              <w:divsChild>
                <w:div w:id="961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9435">
      <w:bodyDiv w:val="1"/>
      <w:marLeft w:val="0"/>
      <w:marRight w:val="0"/>
      <w:marTop w:val="0"/>
      <w:marBottom w:val="0"/>
      <w:divBdr>
        <w:top w:val="none" w:sz="0" w:space="0" w:color="auto"/>
        <w:left w:val="none" w:sz="0" w:space="0" w:color="auto"/>
        <w:bottom w:val="none" w:sz="0" w:space="0" w:color="auto"/>
        <w:right w:val="none" w:sz="0" w:space="0" w:color="auto"/>
      </w:divBdr>
      <w:divsChild>
        <w:div w:id="1623535588">
          <w:marLeft w:val="0"/>
          <w:marRight w:val="0"/>
          <w:marTop w:val="0"/>
          <w:marBottom w:val="0"/>
          <w:divBdr>
            <w:top w:val="none" w:sz="0" w:space="0" w:color="auto"/>
            <w:left w:val="none" w:sz="0" w:space="0" w:color="auto"/>
            <w:bottom w:val="none" w:sz="0" w:space="0" w:color="auto"/>
            <w:right w:val="none" w:sz="0" w:space="0" w:color="auto"/>
          </w:divBdr>
          <w:divsChild>
            <w:div w:id="1057123461">
              <w:marLeft w:val="0"/>
              <w:marRight w:val="0"/>
              <w:marTop w:val="0"/>
              <w:marBottom w:val="0"/>
              <w:divBdr>
                <w:top w:val="none" w:sz="0" w:space="0" w:color="auto"/>
                <w:left w:val="none" w:sz="0" w:space="0" w:color="auto"/>
                <w:bottom w:val="none" w:sz="0" w:space="0" w:color="auto"/>
                <w:right w:val="none" w:sz="0" w:space="0" w:color="auto"/>
              </w:divBdr>
              <w:divsChild>
                <w:div w:id="4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11716">
      <w:bodyDiv w:val="1"/>
      <w:marLeft w:val="0"/>
      <w:marRight w:val="0"/>
      <w:marTop w:val="0"/>
      <w:marBottom w:val="0"/>
      <w:divBdr>
        <w:top w:val="none" w:sz="0" w:space="0" w:color="auto"/>
        <w:left w:val="none" w:sz="0" w:space="0" w:color="auto"/>
        <w:bottom w:val="none" w:sz="0" w:space="0" w:color="auto"/>
        <w:right w:val="none" w:sz="0" w:space="0" w:color="auto"/>
      </w:divBdr>
      <w:divsChild>
        <w:div w:id="1786728062">
          <w:marLeft w:val="0"/>
          <w:marRight w:val="0"/>
          <w:marTop w:val="0"/>
          <w:marBottom w:val="0"/>
          <w:divBdr>
            <w:top w:val="none" w:sz="0" w:space="0" w:color="auto"/>
            <w:left w:val="none" w:sz="0" w:space="0" w:color="auto"/>
            <w:bottom w:val="none" w:sz="0" w:space="0" w:color="auto"/>
            <w:right w:val="none" w:sz="0" w:space="0" w:color="auto"/>
          </w:divBdr>
          <w:divsChild>
            <w:div w:id="2065177888">
              <w:marLeft w:val="0"/>
              <w:marRight w:val="0"/>
              <w:marTop w:val="0"/>
              <w:marBottom w:val="0"/>
              <w:divBdr>
                <w:top w:val="none" w:sz="0" w:space="0" w:color="auto"/>
                <w:left w:val="none" w:sz="0" w:space="0" w:color="auto"/>
                <w:bottom w:val="none" w:sz="0" w:space="0" w:color="auto"/>
                <w:right w:val="none" w:sz="0" w:space="0" w:color="auto"/>
              </w:divBdr>
              <w:divsChild>
                <w:div w:id="20023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90822">
      <w:bodyDiv w:val="1"/>
      <w:marLeft w:val="0"/>
      <w:marRight w:val="0"/>
      <w:marTop w:val="0"/>
      <w:marBottom w:val="0"/>
      <w:divBdr>
        <w:top w:val="none" w:sz="0" w:space="0" w:color="auto"/>
        <w:left w:val="none" w:sz="0" w:space="0" w:color="auto"/>
        <w:bottom w:val="none" w:sz="0" w:space="0" w:color="auto"/>
        <w:right w:val="none" w:sz="0" w:space="0" w:color="auto"/>
      </w:divBdr>
      <w:divsChild>
        <w:div w:id="1220171961">
          <w:marLeft w:val="0"/>
          <w:marRight w:val="0"/>
          <w:marTop w:val="0"/>
          <w:marBottom w:val="0"/>
          <w:divBdr>
            <w:top w:val="none" w:sz="0" w:space="0" w:color="auto"/>
            <w:left w:val="none" w:sz="0" w:space="0" w:color="auto"/>
            <w:bottom w:val="none" w:sz="0" w:space="0" w:color="auto"/>
            <w:right w:val="none" w:sz="0" w:space="0" w:color="auto"/>
          </w:divBdr>
          <w:divsChild>
            <w:div w:id="795104861">
              <w:marLeft w:val="0"/>
              <w:marRight w:val="0"/>
              <w:marTop w:val="0"/>
              <w:marBottom w:val="0"/>
              <w:divBdr>
                <w:top w:val="none" w:sz="0" w:space="0" w:color="auto"/>
                <w:left w:val="none" w:sz="0" w:space="0" w:color="auto"/>
                <w:bottom w:val="none" w:sz="0" w:space="0" w:color="auto"/>
                <w:right w:val="none" w:sz="0" w:space="0" w:color="auto"/>
              </w:divBdr>
              <w:divsChild>
                <w:div w:id="5013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941">
      <w:bodyDiv w:val="1"/>
      <w:marLeft w:val="0"/>
      <w:marRight w:val="0"/>
      <w:marTop w:val="0"/>
      <w:marBottom w:val="0"/>
      <w:divBdr>
        <w:top w:val="none" w:sz="0" w:space="0" w:color="auto"/>
        <w:left w:val="none" w:sz="0" w:space="0" w:color="auto"/>
        <w:bottom w:val="none" w:sz="0" w:space="0" w:color="auto"/>
        <w:right w:val="none" w:sz="0" w:space="0" w:color="auto"/>
      </w:divBdr>
      <w:divsChild>
        <w:div w:id="1154493155">
          <w:marLeft w:val="0"/>
          <w:marRight w:val="0"/>
          <w:marTop w:val="0"/>
          <w:marBottom w:val="0"/>
          <w:divBdr>
            <w:top w:val="none" w:sz="0" w:space="0" w:color="auto"/>
            <w:left w:val="none" w:sz="0" w:space="0" w:color="auto"/>
            <w:bottom w:val="none" w:sz="0" w:space="0" w:color="auto"/>
            <w:right w:val="none" w:sz="0" w:space="0" w:color="auto"/>
          </w:divBdr>
          <w:divsChild>
            <w:div w:id="1320884841">
              <w:marLeft w:val="0"/>
              <w:marRight w:val="0"/>
              <w:marTop w:val="0"/>
              <w:marBottom w:val="0"/>
              <w:divBdr>
                <w:top w:val="none" w:sz="0" w:space="0" w:color="auto"/>
                <w:left w:val="none" w:sz="0" w:space="0" w:color="auto"/>
                <w:bottom w:val="none" w:sz="0" w:space="0" w:color="auto"/>
                <w:right w:val="none" w:sz="0" w:space="0" w:color="auto"/>
              </w:divBdr>
              <w:divsChild>
                <w:div w:id="1263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1888">
      <w:bodyDiv w:val="1"/>
      <w:marLeft w:val="0"/>
      <w:marRight w:val="0"/>
      <w:marTop w:val="0"/>
      <w:marBottom w:val="0"/>
      <w:divBdr>
        <w:top w:val="none" w:sz="0" w:space="0" w:color="auto"/>
        <w:left w:val="none" w:sz="0" w:space="0" w:color="auto"/>
        <w:bottom w:val="none" w:sz="0" w:space="0" w:color="auto"/>
        <w:right w:val="none" w:sz="0" w:space="0" w:color="auto"/>
      </w:divBdr>
      <w:divsChild>
        <w:div w:id="824980483">
          <w:marLeft w:val="0"/>
          <w:marRight w:val="0"/>
          <w:marTop w:val="0"/>
          <w:marBottom w:val="0"/>
          <w:divBdr>
            <w:top w:val="none" w:sz="0" w:space="0" w:color="auto"/>
            <w:left w:val="none" w:sz="0" w:space="0" w:color="auto"/>
            <w:bottom w:val="none" w:sz="0" w:space="0" w:color="auto"/>
            <w:right w:val="none" w:sz="0" w:space="0" w:color="auto"/>
          </w:divBdr>
          <w:divsChild>
            <w:div w:id="367027865">
              <w:marLeft w:val="0"/>
              <w:marRight w:val="0"/>
              <w:marTop w:val="0"/>
              <w:marBottom w:val="0"/>
              <w:divBdr>
                <w:top w:val="none" w:sz="0" w:space="0" w:color="auto"/>
                <w:left w:val="none" w:sz="0" w:space="0" w:color="auto"/>
                <w:bottom w:val="none" w:sz="0" w:space="0" w:color="auto"/>
                <w:right w:val="none" w:sz="0" w:space="0" w:color="auto"/>
              </w:divBdr>
              <w:divsChild>
                <w:div w:id="1736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7256">
      <w:bodyDiv w:val="1"/>
      <w:marLeft w:val="0"/>
      <w:marRight w:val="0"/>
      <w:marTop w:val="0"/>
      <w:marBottom w:val="0"/>
      <w:divBdr>
        <w:top w:val="none" w:sz="0" w:space="0" w:color="auto"/>
        <w:left w:val="none" w:sz="0" w:space="0" w:color="auto"/>
        <w:bottom w:val="none" w:sz="0" w:space="0" w:color="auto"/>
        <w:right w:val="none" w:sz="0" w:space="0" w:color="auto"/>
      </w:divBdr>
      <w:divsChild>
        <w:div w:id="1549341613">
          <w:marLeft w:val="0"/>
          <w:marRight w:val="0"/>
          <w:marTop w:val="0"/>
          <w:marBottom w:val="0"/>
          <w:divBdr>
            <w:top w:val="none" w:sz="0" w:space="0" w:color="auto"/>
            <w:left w:val="none" w:sz="0" w:space="0" w:color="auto"/>
            <w:bottom w:val="none" w:sz="0" w:space="0" w:color="auto"/>
            <w:right w:val="none" w:sz="0" w:space="0" w:color="auto"/>
          </w:divBdr>
          <w:divsChild>
            <w:div w:id="1212962668">
              <w:marLeft w:val="0"/>
              <w:marRight w:val="0"/>
              <w:marTop w:val="0"/>
              <w:marBottom w:val="0"/>
              <w:divBdr>
                <w:top w:val="none" w:sz="0" w:space="0" w:color="auto"/>
                <w:left w:val="none" w:sz="0" w:space="0" w:color="auto"/>
                <w:bottom w:val="none" w:sz="0" w:space="0" w:color="auto"/>
                <w:right w:val="none" w:sz="0" w:space="0" w:color="auto"/>
              </w:divBdr>
              <w:divsChild>
                <w:div w:id="1315333699">
                  <w:marLeft w:val="0"/>
                  <w:marRight w:val="0"/>
                  <w:marTop w:val="0"/>
                  <w:marBottom w:val="0"/>
                  <w:divBdr>
                    <w:top w:val="none" w:sz="0" w:space="0" w:color="auto"/>
                    <w:left w:val="none" w:sz="0" w:space="0" w:color="auto"/>
                    <w:bottom w:val="none" w:sz="0" w:space="0" w:color="auto"/>
                    <w:right w:val="none" w:sz="0" w:space="0" w:color="auto"/>
                  </w:divBdr>
                  <w:divsChild>
                    <w:div w:id="1102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31581">
      <w:bodyDiv w:val="1"/>
      <w:marLeft w:val="0"/>
      <w:marRight w:val="0"/>
      <w:marTop w:val="0"/>
      <w:marBottom w:val="0"/>
      <w:divBdr>
        <w:top w:val="none" w:sz="0" w:space="0" w:color="auto"/>
        <w:left w:val="none" w:sz="0" w:space="0" w:color="auto"/>
        <w:bottom w:val="none" w:sz="0" w:space="0" w:color="auto"/>
        <w:right w:val="none" w:sz="0" w:space="0" w:color="auto"/>
      </w:divBdr>
      <w:divsChild>
        <w:div w:id="275257178">
          <w:marLeft w:val="0"/>
          <w:marRight w:val="0"/>
          <w:marTop w:val="0"/>
          <w:marBottom w:val="0"/>
          <w:divBdr>
            <w:top w:val="none" w:sz="0" w:space="0" w:color="auto"/>
            <w:left w:val="none" w:sz="0" w:space="0" w:color="auto"/>
            <w:bottom w:val="none" w:sz="0" w:space="0" w:color="auto"/>
            <w:right w:val="none" w:sz="0" w:space="0" w:color="auto"/>
          </w:divBdr>
          <w:divsChild>
            <w:div w:id="1315915234">
              <w:marLeft w:val="0"/>
              <w:marRight w:val="0"/>
              <w:marTop w:val="0"/>
              <w:marBottom w:val="0"/>
              <w:divBdr>
                <w:top w:val="none" w:sz="0" w:space="0" w:color="auto"/>
                <w:left w:val="none" w:sz="0" w:space="0" w:color="auto"/>
                <w:bottom w:val="none" w:sz="0" w:space="0" w:color="auto"/>
                <w:right w:val="none" w:sz="0" w:space="0" w:color="auto"/>
              </w:divBdr>
              <w:divsChild>
                <w:div w:id="7426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760">
      <w:bodyDiv w:val="1"/>
      <w:marLeft w:val="0"/>
      <w:marRight w:val="0"/>
      <w:marTop w:val="0"/>
      <w:marBottom w:val="0"/>
      <w:divBdr>
        <w:top w:val="none" w:sz="0" w:space="0" w:color="auto"/>
        <w:left w:val="none" w:sz="0" w:space="0" w:color="auto"/>
        <w:bottom w:val="none" w:sz="0" w:space="0" w:color="auto"/>
        <w:right w:val="none" w:sz="0" w:space="0" w:color="auto"/>
      </w:divBdr>
      <w:divsChild>
        <w:div w:id="1809474950">
          <w:marLeft w:val="0"/>
          <w:marRight w:val="0"/>
          <w:marTop w:val="0"/>
          <w:marBottom w:val="0"/>
          <w:divBdr>
            <w:top w:val="none" w:sz="0" w:space="0" w:color="auto"/>
            <w:left w:val="none" w:sz="0" w:space="0" w:color="auto"/>
            <w:bottom w:val="none" w:sz="0" w:space="0" w:color="auto"/>
            <w:right w:val="none" w:sz="0" w:space="0" w:color="auto"/>
          </w:divBdr>
          <w:divsChild>
            <w:div w:id="146242264">
              <w:marLeft w:val="0"/>
              <w:marRight w:val="0"/>
              <w:marTop w:val="0"/>
              <w:marBottom w:val="0"/>
              <w:divBdr>
                <w:top w:val="none" w:sz="0" w:space="0" w:color="auto"/>
                <w:left w:val="none" w:sz="0" w:space="0" w:color="auto"/>
                <w:bottom w:val="none" w:sz="0" w:space="0" w:color="auto"/>
                <w:right w:val="none" w:sz="0" w:space="0" w:color="auto"/>
              </w:divBdr>
              <w:divsChild>
                <w:div w:id="717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1395">
      <w:bodyDiv w:val="1"/>
      <w:marLeft w:val="0"/>
      <w:marRight w:val="0"/>
      <w:marTop w:val="0"/>
      <w:marBottom w:val="0"/>
      <w:divBdr>
        <w:top w:val="none" w:sz="0" w:space="0" w:color="auto"/>
        <w:left w:val="none" w:sz="0" w:space="0" w:color="auto"/>
        <w:bottom w:val="none" w:sz="0" w:space="0" w:color="auto"/>
        <w:right w:val="none" w:sz="0" w:space="0" w:color="auto"/>
      </w:divBdr>
      <w:divsChild>
        <w:div w:id="1014309236">
          <w:marLeft w:val="0"/>
          <w:marRight w:val="0"/>
          <w:marTop w:val="0"/>
          <w:marBottom w:val="0"/>
          <w:divBdr>
            <w:top w:val="none" w:sz="0" w:space="0" w:color="auto"/>
            <w:left w:val="none" w:sz="0" w:space="0" w:color="auto"/>
            <w:bottom w:val="none" w:sz="0" w:space="0" w:color="auto"/>
            <w:right w:val="none" w:sz="0" w:space="0" w:color="auto"/>
          </w:divBdr>
          <w:divsChild>
            <w:div w:id="2092922723">
              <w:marLeft w:val="0"/>
              <w:marRight w:val="0"/>
              <w:marTop w:val="0"/>
              <w:marBottom w:val="0"/>
              <w:divBdr>
                <w:top w:val="none" w:sz="0" w:space="0" w:color="auto"/>
                <w:left w:val="none" w:sz="0" w:space="0" w:color="auto"/>
                <w:bottom w:val="none" w:sz="0" w:space="0" w:color="auto"/>
                <w:right w:val="none" w:sz="0" w:space="0" w:color="auto"/>
              </w:divBdr>
              <w:divsChild>
                <w:div w:id="11127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4742">
      <w:bodyDiv w:val="1"/>
      <w:marLeft w:val="0"/>
      <w:marRight w:val="0"/>
      <w:marTop w:val="0"/>
      <w:marBottom w:val="0"/>
      <w:divBdr>
        <w:top w:val="none" w:sz="0" w:space="0" w:color="auto"/>
        <w:left w:val="none" w:sz="0" w:space="0" w:color="auto"/>
        <w:bottom w:val="none" w:sz="0" w:space="0" w:color="auto"/>
        <w:right w:val="none" w:sz="0" w:space="0" w:color="auto"/>
      </w:divBdr>
      <w:divsChild>
        <w:div w:id="371534650">
          <w:marLeft w:val="0"/>
          <w:marRight w:val="0"/>
          <w:marTop w:val="0"/>
          <w:marBottom w:val="0"/>
          <w:divBdr>
            <w:top w:val="none" w:sz="0" w:space="0" w:color="auto"/>
            <w:left w:val="none" w:sz="0" w:space="0" w:color="auto"/>
            <w:bottom w:val="none" w:sz="0" w:space="0" w:color="auto"/>
            <w:right w:val="none" w:sz="0" w:space="0" w:color="auto"/>
          </w:divBdr>
          <w:divsChild>
            <w:div w:id="2105565898">
              <w:marLeft w:val="0"/>
              <w:marRight w:val="0"/>
              <w:marTop w:val="0"/>
              <w:marBottom w:val="0"/>
              <w:divBdr>
                <w:top w:val="none" w:sz="0" w:space="0" w:color="auto"/>
                <w:left w:val="none" w:sz="0" w:space="0" w:color="auto"/>
                <w:bottom w:val="none" w:sz="0" w:space="0" w:color="auto"/>
                <w:right w:val="none" w:sz="0" w:space="0" w:color="auto"/>
              </w:divBdr>
              <w:divsChild>
                <w:div w:id="12671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725">
      <w:bodyDiv w:val="1"/>
      <w:marLeft w:val="0"/>
      <w:marRight w:val="0"/>
      <w:marTop w:val="0"/>
      <w:marBottom w:val="0"/>
      <w:divBdr>
        <w:top w:val="none" w:sz="0" w:space="0" w:color="auto"/>
        <w:left w:val="none" w:sz="0" w:space="0" w:color="auto"/>
        <w:bottom w:val="none" w:sz="0" w:space="0" w:color="auto"/>
        <w:right w:val="none" w:sz="0" w:space="0" w:color="auto"/>
      </w:divBdr>
      <w:divsChild>
        <w:div w:id="1320159155">
          <w:marLeft w:val="0"/>
          <w:marRight w:val="0"/>
          <w:marTop w:val="0"/>
          <w:marBottom w:val="0"/>
          <w:divBdr>
            <w:top w:val="none" w:sz="0" w:space="0" w:color="auto"/>
            <w:left w:val="none" w:sz="0" w:space="0" w:color="auto"/>
            <w:bottom w:val="none" w:sz="0" w:space="0" w:color="auto"/>
            <w:right w:val="none" w:sz="0" w:space="0" w:color="auto"/>
          </w:divBdr>
          <w:divsChild>
            <w:div w:id="119609918">
              <w:marLeft w:val="0"/>
              <w:marRight w:val="0"/>
              <w:marTop w:val="0"/>
              <w:marBottom w:val="0"/>
              <w:divBdr>
                <w:top w:val="none" w:sz="0" w:space="0" w:color="auto"/>
                <w:left w:val="none" w:sz="0" w:space="0" w:color="auto"/>
                <w:bottom w:val="none" w:sz="0" w:space="0" w:color="auto"/>
                <w:right w:val="none" w:sz="0" w:space="0" w:color="auto"/>
              </w:divBdr>
              <w:divsChild>
                <w:div w:id="7929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386">
      <w:bodyDiv w:val="1"/>
      <w:marLeft w:val="0"/>
      <w:marRight w:val="0"/>
      <w:marTop w:val="0"/>
      <w:marBottom w:val="0"/>
      <w:divBdr>
        <w:top w:val="none" w:sz="0" w:space="0" w:color="auto"/>
        <w:left w:val="none" w:sz="0" w:space="0" w:color="auto"/>
        <w:bottom w:val="none" w:sz="0" w:space="0" w:color="auto"/>
        <w:right w:val="none" w:sz="0" w:space="0" w:color="auto"/>
      </w:divBdr>
      <w:divsChild>
        <w:div w:id="53042025">
          <w:marLeft w:val="0"/>
          <w:marRight w:val="0"/>
          <w:marTop w:val="0"/>
          <w:marBottom w:val="0"/>
          <w:divBdr>
            <w:top w:val="none" w:sz="0" w:space="0" w:color="auto"/>
            <w:left w:val="none" w:sz="0" w:space="0" w:color="auto"/>
            <w:bottom w:val="none" w:sz="0" w:space="0" w:color="auto"/>
            <w:right w:val="none" w:sz="0" w:space="0" w:color="auto"/>
          </w:divBdr>
          <w:divsChild>
            <w:div w:id="422608308">
              <w:marLeft w:val="0"/>
              <w:marRight w:val="0"/>
              <w:marTop w:val="0"/>
              <w:marBottom w:val="0"/>
              <w:divBdr>
                <w:top w:val="none" w:sz="0" w:space="0" w:color="auto"/>
                <w:left w:val="none" w:sz="0" w:space="0" w:color="auto"/>
                <w:bottom w:val="none" w:sz="0" w:space="0" w:color="auto"/>
                <w:right w:val="none" w:sz="0" w:space="0" w:color="auto"/>
              </w:divBdr>
              <w:divsChild>
                <w:div w:id="2098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8503">
      <w:bodyDiv w:val="1"/>
      <w:marLeft w:val="0"/>
      <w:marRight w:val="0"/>
      <w:marTop w:val="0"/>
      <w:marBottom w:val="0"/>
      <w:divBdr>
        <w:top w:val="none" w:sz="0" w:space="0" w:color="auto"/>
        <w:left w:val="none" w:sz="0" w:space="0" w:color="auto"/>
        <w:bottom w:val="none" w:sz="0" w:space="0" w:color="auto"/>
        <w:right w:val="none" w:sz="0" w:space="0" w:color="auto"/>
      </w:divBdr>
      <w:divsChild>
        <w:div w:id="899168777">
          <w:marLeft w:val="0"/>
          <w:marRight w:val="0"/>
          <w:marTop w:val="0"/>
          <w:marBottom w:val="0"/>
          <w:divBdr>
            <w:top w:val="none" w:sz="0" w:space="0" w:color="auto"/>
            <w:left w:val="none" w:sz="0" w:space="0" w:color="auto"/>
            <w:bottom w:val="none" w:sz="0" w:space="0" w:color="auto"/>
            <w:right w:val="none" w:sz="0" w:space="0" w:color="auto"/>
          </w:divBdr>
          <w:divsChild>
            <w:div w:id="1047143881">
              <w:marLeft w:val="0"/>
              <w:marRight w:val="0"/>
              <w:marTop w:val="0"/>
              <w:marBottom w:val="0"/>
              <w:divBdr>
                <w:top w:val="none" w:sz="0" w:space="0" w:color="auto"/>
                <w:left w:val="none" w:sz="0" w:space="0" w:color="auto"/>
                <w:bottom w:val="none" w:sz="0" w:space="0" w:color="auto"/>
                <w:right w:val="none" w:sz="0" w:space="0" w:color="auto"/>
              </w:divBdr>
              <w:divsChild>
                <w:div w:id="19984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88818">
      <w:bodyDiv w:val="1"/>
      <w:marLeft w:val="0"/>
      <w:marRight w:val="0"/>
      <w:marTop w:val="0"/>
      <w:marBottom w:val="0"/>
      <w:divBdr>
        <w:top w:val="none" w:sz="0" w:space="0" w:color="auto"/>
        <w:left w:val="none" w:sz="0" w:space="0" w:color="auto"/>
        <w:bottom w:val="none" w:sz="0" w:space="0" w:color="auto"/>
        <w:right w:val="none" w:sz="0" w:space="0" w:color="auto"/>
      </w:divBdr>
      <w:divsChild>
        <w:div w:id="816655142">
          <w:marLeft w:val="0"/>
          <w:marRight w:val="0"/>
          <w:marTop w:val="0"/>
          <w:marBottom w:val="0"/>
          <w:divBdr>
            <w:top w:val="none" w:sz="0" w:space="0" w:color="auto"/>
            <w:left w:val="none" w:sz="0" w:space="0" w:color="auto"/>
            <w:bottom w:val="none" w:sz="0" w:space="0" w:color="auto"/>
            <w:right w:val="none" w:sz="0" w:space="0" w:color="auto"/>
          </w:divBdr>
          <w:divsChild>
            <w:div w:id="1151678703">
              <w:marLeft w:val="0"/>
              <w:marRight w:val="0"/>
              <w:marTop w:val="0"/>
              <w:marBottom w:val="0"/>
              <w:divBdr>
                <w:top w:val="none" w:sz="0" w:space="0" w:color="auto"/>
                <w:left w:val="none" w:sz="0" w:space="0" w:color="auto"/>
                <w:bottom w:val="none" w:sz="0" w:space="0" w:color="auto"/>
                <w:right w:val="none" w:sz="0" w:space="0" w:color="auto"/>
              </w:divBdr>
              <w:divsChild>
                <w:div w:id="14600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6551">
      <w:bodyDiv w:val="1"/>
      <w:marLeft w:val="0"/>
      <w:marRight w:val="0"/>
      <w:marTop w:val="0"/>
      <w:marBottom w:val="0"/>
      <w:divBdr>
        <w:top w:val="none" w:sz="0" w:space="0" w:color="auto"/>
        <w:left w:val="none" w:sz="0" w:space="0" w:color="auto"/>
        <w:bottom w:val="none" w:sz="0" w:space="0" w:color="auto"/>
        <w:right w:val="none" w:sz="0" w:space="0" w:color="auto"/>
      </w:divBdr>
      <w:divsChild>
        <w:div w:id="1525896554">
          <w:marLeft w:val="0"/>
          <w:marRight w:val="0"/>
          <w:marTop w:val="0"/>
          <w:marBottom w:val="0"/>
          <w:divBdr>
            <w:top w:val="none" w:sz="0" w:space="0" w:color="auto"/>
            <w:left w:val="none" w:sz="0" w:space="0" w:color="auto"/>
            <w:bottom w:val="none" w:sz="0" w:space="0" w:color="auto"/>
            <w:right w:val="none" w:sz="0" w:space="0" w:color="auto"/>
          </w:divBdr>
          <w:divsChild>
            <w:div w:id="1185366169">
              <w:marLeft w:val="0"/>
              <w:marRight w:val="0"/>
              <w:marTop w:val="0"/>
              <w:marBottom w:val="0"/>
              <w:divBdr>
                <w:top w:val="none" w:sz="0" w:space="0" w:color="auto"/>
                <w:left w:val="none" w:sz="0" w:space="0" w:color="auto"/>
                <w:bottom w:val="none" w:sz="0" w:space="0" w:color="auto"/>
                <w:right w:val="none" w:sz="0" w:space="0" w:color="auto"/>
              </w:divBdr>
              <w:divsChild>
                <w:div w:id="1067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7738">
      <w:bodyDiv w:val="1"/>
      <w:marLeft w:val="0"/>
      <w:marRight w:val="0"/>
      <w:marTop w:val="0"/>
      <w:marBottom w:val="0"/>
      <w:divBdr>
        <w:top w:val="none" w:sz="0" w:space="0" w:color="auto"/>
        <w:left w:val="none" w:sz="0" w:space="0" w:color="auto"/>
        <w:bottom w:val="none" w:sz="0" w:space="0" w:color="auto"/>
        <w:right w:val="none" w:sz="0" w:space="0" w:color="auto"/>
      </w:divBdr>
      <w:divsChild>
        <w:div w:id="1727027680">
          <w:marLeft w:val="0"/>
          <w:marRight w:val="0"/>
          <w:marTop w:val="0"/>
          <w:marBottom w:val="0"/>
          <w:divBdr>
            <w:top w:val="none" w:sz="0" w:space="0" w:color="auto"/>
            <w:left w:val="none" w:sz="0" w:space="0" w:color="auto"/>
            <w:bottom w:val="none" w:sz="0" w:space="0" w:color="auto"/>
            <w:right w:val="none" w:sz="0" w:space="0" w:color="auto"/>
          </w:divBdr>
          <w:divsChild>
            <w:div w:id="387149611">
              <w:marLeft w:val="0"/>
              <w:marRight w:val="0"/>
              <w:marTop w:val="0"/>
              <w:marBottom w:val="0"/>
              <w:divBdr>
                <w:top w:val="none" w:sz="0" w:space="0" w:color="auto"/>
                <w:left w:val="none" w:sz="0" w:space="0" w:color="auto"/>
                <w:bottom w:val="none" w:sz="0" w:space="0" w:color="auto"/>
                <w:right w:val="none" w:sz="0" w:space="0" w:color="auto"/>
              </w:divBdr>
              <w:divsChild>
                <w:div w:id="1072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887">
      <w:bodyDiv w:val="1"/>
      <w:marLeft w:val="0"/>
      <w:marRight w:val="0"/>
      <w:marTop w:val="0"/>
      <w:marBottom w:val="0"/>
      <w:divBdr>
        <w:top w:val="none" w:sz="0" w:space="0" w:color="auto"/>
        <w:left w:val="none" w:sz="0" w:space="0" w:color="auto"/>
        <w:bottom w:val="none" w:sz="0" w:space="0" w:color="auto"/>
        <w:right w:val="none" w:sz="0" w:space="0" w:color="auto"/>
      </w:divBdr>
      <w:divsChild>
        <w:div w:id="1521120828">
          <w:marLeft w:val="0"/>
          <w:marRight w:val="0"/>
          <w:marTop w:val="0"/>
          <w:marBottom w:val="0"/>
          <w:divBdr>
            <w:top w:val="none" w:sz="0" w:space="0" w:color="auto"/>
            <w:left w:val="none" w:sz="0" w:space="0" w:color="auto"/>
            <w:bottom w:val="none" w:sz="0" w:space="0" w:color="auto"/>
            <w:right w:val="none" w:sz="0" w:space="0" w:color="auto"/>
          </w:divBdr>
          <w:divsChild>
            <w:div w:id="1558129192">
              <w:marLeft w:val="0"/>
              <w:marRight w:val="0"/>
              <w:marTop w:val="0"/>
              <w:marBottom w:val="0"/>
              <w:divBdr>
                <w:top w:val="none" w:sz="0" w:space="0" w:color="auto"/>
                <w:left w:val="none" w:sz="0" w:space="0" w:color="auto"/>
                <w:bottom w:val="none" w:sz="0" w:space="0" w:color="auto"/>
                <w:right w:val="none" w:sz="0" w:space="0" w:color="auto"/>
              </w:divBdr>
              <w:divsChild>
                <w:div w:id="1954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2644">
      <w:bodyDiv w:val="1"/>
      <w:marLeft w:val="0"/>
      <w:marRight w:val="0"/>
      <w:marTop w:val="0"/>
      <w:marBottom w:val="0"/>
      <w:divBdr>
        <w:top w:val="none" w:sz="0" w:space="0" w:color="auto"/>
        <w:left w:val="none" w:sz="0" w:space="0" w:color="auto"/>
        <w:bottom w:val="none" w:sz="0" w:space="0" w:color="auto"/>
        <w:right w:val="none" w:sz="0" w:space="0" w:color="auto"/>
      </w:divBdr>
      <w:divsChild>
        <w:div w:id="1858083798">
          <w:marLeft w:val="0"/>
          <w:marRight w:val="0"/>
          <w:marTop w:val="0"/>
          <w:marBottom w:val="0"/>
          <w:divBdr>
            <w:top w:val="none" w:sz="0" w:space="0" w:color="auto"/>
            <w:left w:val="none" w:sz="0" w:space="0" w:color="auto"/>
            <w:bottom w:val="none" w:sz="0" w:space="0" w:color="auto"/>
            <w:right w:val="none" w:sz="0" w:space="0" w:color="auto"/>
          </w:divBdr>
          <w:divsChild>
            <w:div w:id="1423797599">
              <w:marLeft w:val="0"/>
              <w:marRight w:val="0"/>
              <w:marTop w:val="0"/>
              <w:marBottom w:val="0"/>
              <w:divBdr>
                <w:top w:val="none" w:sz="0" w:space="0" w:color="auto"/>
                <w:left w:val="none" w:sz="0" w:space="0" w:color="auto"/>
                <w:bottom w:val="none" w:sz="0" w:space="0" w:color="auto"/>
                <w:right w:val="none" w:sz="0" w:space="0" w:color="auto"/>
              </w:divBdr>
              <w:divsChild>
                <w:div w:id="18766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5570">
      <w:bodyDiv w:val="1"/>
      <w:marLeft w:val="0"/>
      <w:marRight w:val="0"/>
      <w:marTop w:val="0"/>
      <w:marBottom w:val="0"/>
      <w:divBdr>
        <w:top w:val="none" w:sz="0" w:space="0" w:color="auto"/>
        <w:left w:val="none" w:sz="0" w:space="0" w:color="auto"/>
        <w:bottom w:val="none" w:sz="0" w:space="0" w:color="auto"/>
        <w:right w:val="none" w:sz="0" w:space="0" w:color="auto"/>
      </w:divBdr>
      <w:divsChild>
        <w:div w:id="1186556832">
          <w:marLeft w:val="0"/>
          <w:marRight w:val="0"/>
          <w:marTop w:val="0"/>
          <w:marBottom w:val="0"/>
          <w:divBdr>
            <w:top w:val="none" w:sz="0" w:space="0" w:color="auto"/>
            <w:left w:val="none" w:sz="0" w:space="0" w:color="auto"/>
            <w:bottom w:val="none" w:sz="0" w:space="0" w:color="auto"/>
            <w:right w:val="none" w:sz="0" w:space="0" w:color="auto"/>
          </w:divBdr>
          <w:divsChild>
            <w:div w:id="1307659284">
              <w:marLeft w:val="0"/>
              <w:marRight w:val="0"/>
              <w:marTop w:val="0"/>
              <w:marBottom w:val="0"/>
              <w:divBdr>
                <w:top w:val="none" w:sz="0" w:space="0" w:color="auto"/>
                <w:left w:val="none" w:sz="0" w:space="0" w:color="auto"/>
                <w:bottom w:val="none" w:sz="0" w:space="0" w:color="auto"/>
                <w:right w:val="none" w:sz="0" w:space="0" w:color="auto"/>
              </w:divBdr>
              <w:divsChild>
                <w:div w:id="1505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0171">
      <w:bodyDiv w:val="1"/>
      <w:marLeft w:val="0"/>
      <w:marRight w:val="0"/>
      <w:marTop w:val="0"/>
      <w:marBottom w:val="0"/>
      <w:divBdr>
        <w:top w:val="none" w:sz="0" w:space="0" w:color="auto"/>
        <w:left w:val="none" w:sz="0" w:space="0" w:color="auto"/>
        <w:bottom w:val="none" w:sz="0" w:space="0" w:color="auto"/>
        <w:right w:val="none" w:sz="0" w:space="0" w:color="auto"/>
      </w:divBdr>
      <w:divsChild>
        <w:div w:id="2135512790">
          <w:marLeft w:val="0"/>
          <w:marRight w:val="0"/>
          <w:marTop w:val="0"/>
          <w:marBottom w:val="0"/>
          <w:divBdr>
            <w:top w:val="none" w:sz="0" w:space="0" w:color="auto"/>
            <w:left w:val="none" w:sz="0" w:space="0" w:color="auto"/>
            <w:bottom w:val="none" w:sz="0" w:space="0" w:color="auto"/>
            <w:right w:val="none" w:sz="0" w:space="0" w:color="auto"/>
          </w:divBdr>
          <w:divsChild>
            <w:div w:id="1936011234">
              <w:marLeft w:val="0"/>
              <w:marRight w:val="0"/>
              <w:marTop w:val="0"/>
              <w:marBottom w:val="0"/>
              <w:divBdr>
                <w:top w:val="none" w:sz="0" w:space="0" w:color="auto"/>
                <w:left w:val="none" w:sz="0" w:space="0" w:color="auto"/>
                <w:bottom w:val="none" w:sz="0" w:space="0" w:color="auto"/>
                <w:right w:val="none" w:sz="0" w:space="0" w:color="auto"/>
              </w:divBdr>
              <w:divsChild>
                <w:div w:id="9830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81317">
      <w:bodyDiv w:val="1"/>
      <w:marLeft w:val="0"/>
      <w:marRight w:val="0"/>
      <w:marTop w:val="0"/>
      <w:marBottom w:val="0"/>
      <w:divBdr>
        <w:top w:val="none" w:sz="0" w:space="0" w:color="auto"/>
        <w:left w:val="none" w:sz="0" w:space="0" w:color="auto"/>
        <w:bottom w:val="none" w:sz="0" w:space="0" w:color="auto"/>
        <w:right w:val="none" w:sz="0" w:space="0" w:color="auto"/>
      </w:divBdr>
      <w:divsChild>
        <w:div w:id="2071615624">
          <w:marLeft w:val="0"/>
          <w:marRight w:val="0"/>
          <w:marTop w:val="0"/>
          <w:marBottom w:val="0"/>
          <w:divBdr>
            <w:top w:val="none" w:sz="0" w:space="0" w:color="auto"/>
            <w:left w:val="none" w:sz="0" w:space="0" w:color="auto"/>
            <w:bottom w:val="none" w:sz="0" w:space="0" w:color="auto"/>
            <w:right w:val="none" w:sz="0" w:space="0" w:color="auto"/>
          </w:divBdr>
          <w:divsChild>
            <w:div w:id="446048215">
              <w:marLeft w:val="0"/>
              <w:marRight w:val="0"/>
              <w:marTop w:val="0"/>
              <w:marBottom w:val="0"/>
              <w:divBdr>
                <w:top w:val="none" w:sz="0" w:space="0" w:color="auto"/>
                <w:left w:val="none" w:sz="0" w:space="0" w:color="auto"/>
                <w:bottom w:val="none" w:sz="0" w:space="0" w:color="auto"/>
                <w:right w:val="none" w:sz="0" w:space="0" w:color="auto"/>
              </w:divBdr>
              <w:divsChild>
                <w:div w:id="970406126">
                  <w:marLeft w:val="0"/>
                  <w:marRight w:val="0"/>
                  <w:marTop w:val="0"/>
                  <w:marBottom w:val="0"/>
                  <w:divBdr>
                    <w:top w:val="none" w:sz="0" w:space="0" w:color="auto"/>
                    <w:left w:val="none" w:sz="0" w:space="0" w:color="auto"/>
                    <w:bottom w:val="none" w:sz="0" w:space="0" w:color="auto"/>
                    <w:right w:val="none" w:sz="0" w:space="0" w:color="auto"/>
                  </w:divBdr>
                  <w:divsChild>
                    <w:div w:id="894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8897">
      <w:bodyDiv w:val="1"/>
      <w:marLeft w:val="0"/>
      <w:marRight w:val="0"/>
      <w:marTop w:val="0"/>
      <w:marBottom w:val="0"/>
      <w:divBdr>
        <w:top w:val="none" w:sz="0" w:space="0" w:color="auto"/>
        <w:left w:val="none" w:sz="0" w:space="0" w:color="auto"/>
        <w:bottom w:val="none" w:sz="0" w:space="0" w:color="auto"/>
        <w:right w:val="none" w:sz="0" w:space="0" w:color="auto"/>
      </w:divBdr>
      <w:divsChild>
        <w:div w:id="1763600351">
          <w:marLeft w:val="0"/>
          <w:marRight w:val="0"/>
          <w:marTop w:val="0"/>
          <w:marBottom w:val="0"/>
          <w:divBdr>
            <w:top w:val="none" w:sz="0" w:space="0" w:color="auto"/>
            <w:left w:val="none" w:sz="0" w:space="0" w:color="auto"/>
            <w:bottom w:val="none" w:sz="0" w:space="0" w:color="auto"/>
            <w:right w:val="none" w:sz="0" w:space="0" w:color="auto"/>
          </w:divBdr>
          <w:divsChild>
            <w:div w:id="466439850">
              <w:marLeft w:val="0"/>
              <w:marRight w:val="0"/>
              <w:marTop w:val="0"/>
              <w:marBottom w:val="0"/>
              <w:divBdr>
                <w:top w:val="none" w:sz="0" w:space="0" w:color="auto"/>
                <w:left w:val="none" w:sz="0" w:space="0" w:color="auto"/>
                <w:bottom w:val="none" w:sz="0" w:space="0" w:color="auto"/>
                <w:right w:val="none" w:sz="0" w:space="0" w:color="auto"/>
              </w:divBdr>
              <w:divsChild>
                <w:div w:id="18629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rsingh@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8E35-3930-E94D-9D24-8BA04605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30</Pages>
  <Words>12748</Words>
  <Characters>72664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Aeimit Lakdawala</dc:creator>
  <cp:keywords/>
  <dc:description/>
  <cp:lastModifiedBy>Aeimit Lakdawala</cp:lastModifiedBy>
  <cp:revision>536</cp:revision>
  <dcterms:created xsi:type="dcterms:W3CDTF">2020-06-16T19:33:00Z</dcterms:created>
  <dcterms:modified xsi:type="dcterms:W3CDTF">2020-06-22T02:24:00Z</dcterms:modified>
</cp:coreProperties>
</file>